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F9A15" w14:textId="77777777" w:rsidR="00637030" w:rsidRPr="0051484F" w:rsidRDefault="00637030" w:rsidP="00637030">
      <w:pPr>
        <w:spacing w:after="0" w:line="264" w:lineRule="auto"/>
        <w:jc w:val="center"/>
        <w:rPr>
          <w:rFonts w:ascii="Century Gothic" w:eastAsia="Times New Roman" w:hAnsi="Century Gothic" w:cs="Times New Roman"/>
          <w:color w:val="000000"/>
        </w:rPr>
      </w:pPr>
    </w:p>
    <w:p w14:paraId="6F76FD4E" w14:textId="77777777" w:rsidR="00637030" w:rsidRPr="0051484F" w:rsidRDefault="00637030" w:rsidP="00637030">
      <w:pPr>
        <w:spacing w:after="0" w:line="264" w:lineRule="auto"/>
        <w:rPr>
          <w:rFonts w:ascii="Century Gothic" w:eastAsia="Times New Roman" w:hAnsi="Century Gothic" w:cs="Times New Roman"/>
          <w:color w:val="000000"/>
        </w:rPr>
      </w:pPr>
    </w:p>
    <w:p w14:paraId="42E085D5" w14:textId="77777777" w:rsidR="00637030" w:rsidRPr="0051484F" w:rsidRDefault="00637030" w:rsidP="00637030">
      <w:pPr>
        <w:spacing w:after="0" w:line="264" w:lineRule="auto"/>
        <w:rPr>
          <w:rFonts w:ascii="Century Gothic" w:eastAsia="Times New Roman" w:hAnsi="Century Gothic" w:cs="Times New Roman"/>
          <w:color w:val="000000"/>
        </w:rPr>
      </w:pPr>
    </w:p>
    <w:p w14:paraId="3A7B16D1" w14:textId="52C5FE16" w:rsidR="00637030" w:rsidRPr="0051484F" w:rsidRDefault="00A707E4" w:rsidP="00637030">
      <w:pPr>
        <w:spacing w:after="0" w:line="264" w:lineRule="auto"/>
        <w:rPr>
          <w:rFonts w:ascii="Century Gothic" w:eastAsia="Times New Roman" w:hAnsi="Century Gothic" w:cs="Times New Roman"/>
          <w:color w:val="000000"/>
        </w:rPr>
      </w:pPr>
      <w:r>
        <w:rPr>
          <w:rFonts w:ascii="Century Gothic" w:eastAsia="Times New Roman" w:hAnsi="Century Gothic" w:cs="Times New Roman"/>
          <w:color w:val="000000"/>
        </w:rPr>
        <w:t>November 1</w:t>
      </w:r>
      <w:r w:rsidR="007B338C">
        <w:rPr>
          <w:rFonts w:ascii="Century Gothic" w:eastAsia="Times New Roman" w:hAnsi="Century Gothic" w:cs="Times New Roman"/>
          <w:color w:val="000000"/>
        </w:rPr>
        <w:t>3</w:t>
      </w:r>
      <w:r>
        <w:rPr>
          <w:rFonts w:ascii="Century Gothic" w:eastAsia="Times New Roman" w:hAnsi="Century Gothic" w:cs="Times New Roman"/>
          <w:color w:val="000000"/>
        </w:rPr>
        <w:t xml:space="preserve">, 2019 </w:t>
      </w:r>
    </w:p>
    <w:p w14:paraId="1F2732FC" w14:textId="77777777" w:rsidR="00EA7B59" w:rsidRPr="0051484F" w:rsidRDefault="00EA7B59" w:rsidP="00637030">
      <w:pPr>
        <w:spacing w:after="0" w:line="240" w:lineRule="auto"/>
        <w:jc w:val="both"/>
        <w:rPr>
          <w:rFonts w:ascii="Century Gothic" w:eastAsia="Times New Roman" w:hAnsi="Century Gothic" w:cs="Times New Roman"/>
          <w:color w:val="000000"/>
        </w:rPr>
      </w:pPr>
      <w:bookmarkStart w:id="0" w:name="_GoBack"/>
      <w:bookmarkEnd w:id="0"/>
    </w:p>
    <w:p w14:paraId="3DDBA5F8" w14:textId="77777777" w:rsidR="00EA7B59" w:rsidRPr="0051484F" w:rsidRDefault="00EA7B59" w:rsidP="00637030">
      <w:pPr>
        <w:spacing w:after="0" w:line="240" w:lineRule="auto"/>
        <w:jc w:val="both"/>
        <w:rPr>
          <w:rFonts w:ascii="Century Gothic" w:eastAsia="Times New Roman" w:hAnsi="Century Gothic" w:cs="Times New Roman"/>
          <w:color w:val="000000"/>
        </w:rPr>
      </w:pPr>
    </w:p>
    <w:p w14:paraId="48B63C12" w14:textId="77777777" w:rsidR="00EA7B59" w:rsidRPr="0051484F" w:rsidRDefault="00EA7B59" w:rsidP="00637030">
      <w:pPr>
        <w:spacing w:after="0" w:line="240" w:lineRule="auto"/>
        <w:jc w:val="both"/>
        <w:rPr>
          <w:rFonts w:ascii="Century Gothic" w:eastAsia="Times New Roman" w:hAnsi="Century Gothic" w:cs="Times New Roman"/>
          <w:color w:val="000000"/>
        </w:rPr>
        <w:sectPr w:rsidR="00EA7B59" w:rsidRPr="0051484F" w:rsidSect="00E86B5D">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titlePg/>
          <w:docGrid w:linePitch="299"/>
        </w:sectPr>
      </w:pPr>
    </w:p>
    <w:p w14:paraId="122B4E7E" w14:textId="73AE7159" w:rsidR="00637030" w:rsidRPr="0051484F" w:rsidRDefault="00637030" w:rsidP="00637030">
      <w:pPr>
        <w:spacing w:after="0" w:line="240" w:lineRule="auto"/>
        <w:jc w:val="both"/>
        <w:rPr>
          <w:rFonts w:ascii="Century Gothic" w:eastAsia="Times New Roman" w:hAnsi="Century Gothic" w:cs="Times New Roman"/>
          <w:color w:val="000000"/>
        </w:rPr>
      </w:pPr>
      <w:r w:rsidRPr="0051484F">
        <w:rPr>
          <w:rFonts w:ascii="Century Gothic" w:eastAsia="Times New Roman" w:hAnsi="Century Gothic" w:cs="Times New Roman"/>
          <w:color w:val="000000"/>
        </w:rPr>
        <w:t xml:space="preserve">The Honorable </w:t>
      </w:r>
      <w:r w:rsidR="00E12360">
        <w:rPr>
          <w:rFonts w:ascii="Century Gothic" w:eastAsia="Times New Roman" w:hAnsi="Century Gothic" w:cs="Times New Roman"/>
          <w:color w:val="000000"/>
        </w:rPr>
        <w:t>Donna Shalala</w:t>
      </w:r>
    </w:p>
    <w:p w14:paraId="226EE3FC" w14:textId="279C917B" w:rsidR="00EA7B59" w:rsidRPr="0051484F" w:rsidRDefault="00E12360" w:rsidP="00637030">
      <w:pPr>
        <w:spacing w:after="0" w:line="240" w:lineRule="auto"/>
        <w:jc w:val="both"/>
        <w:rPr>
          <w:rFonts w:ascii="Century Gothic" w:eastAsia="Times New Roman" w:hAnsi="Century Gothic" w:cs="Times New Roman"/>
          <w:color w:val="000000"/>
        </w:rPr>
      </w:pPr>
      <w:r>
        <w:rPr>
          <w:rFonts w:ascii="Century Gothic" w:eastAsia="Times New Roman" w:hAnsi="Century Gothic" w:cs="Times New Roman"/>
          <w:color w:val="000000"/>
        </w:rPr>
        <w:t>US House of Representatives</w:t>
      </w:r>
    </w:p>
    <w:p w14:paraId="132CF478" w14:textId="0786B39A" w:rsidR="00637030" w:rsidRPr="0051484F" w:rsidRDefault="00E12360" w:rsidP="00637030">
      <w:pPr>
        <w:spacing w:after="0" w:line="240" w:lineRule="auto"/>
        <w:jc w:val="both"/>
        <w:rPr>
          <w:rFonts w:ascii="Century Gothic" w:eastAsia="Times New Roman" w:hAnsi="Century Gothic" w:cs="Times New Roman"/>
          <w:color w:val="000000"/>
        </w:rPr>
      </w:pPr>
      <w:r>
        <w:rPr>
          <w:rFonts w:ascii="Century Gothic" w:eastAsia="Times New Roman" w:hAnsi="Century Gothic" w:cs="Times New Roman"/>
          <w:color w:val="000000"/>
        </w:rPr>
        <w:t>1</w:t>
      </w:r>
      <w:r w:rsidR="00637030" w:rsidRPr="0051484F">
        <w:rPr>
          <w:rFonts w:ascii="Century Gothic" w:eastAsia="Times New Roman" w:hAnsi="Century Gothic" w:cs="Times New Roman"/>
          <w:color w:val="000000"/>
        </w:rPr>
        <w:t>3</w:t>
      </w:r>
      <w:r>
        <w:rPr>
          <w:rFonts w:ascii="Century Gothic" w:eastAsia="Times New Roman" w:hAnsi="Century Gothic" w:cs="Times New Roman"/>
          <w:color w:val="000000"/>
        </w:rPr>
        <w:t>2</w:t>
      </w:r>
      <w:r w:rsidR="00637030" w:rsidRPr="0051484F">
        <w:rPr>
          <w:rFonts w:ascii="Century Gothic" w:eastAsia="Times New Roman" w:hAnsi="Century Gothic" w:cs="Times New Roman"/>
          <w:color w:val="000000"/>
        </w:rPr>
        <w:t xml:space="preserve">0 </w:t>
      </w:r>
      <w:r>
        <w:rPr>
          <w:rFonts w:ascii="Century Gothic" w:eastAsia="Times New Roman" w:hAnsi="Century Gothic" w:cs="Times New Roman"/>
          <w:color w:val="000000"/>
        </w:rPr>
        <w:t>Longworth</w:t>
      </w:r>
      <w:r w:rsidR="00637030" w:rsidRPr="0051484F">
        <w:rPr>
          <w:rFonts w:ascii="Century Gothic" w:eastAsia="Times New Roman" w:hAnsi="Century Gothic" w:cs="Times New Roman"/>
          <w:color w:val="000000"/>
        </w:rPr>
        <w:t xml:space="preserve"> </w:t>
      </w:r>
      <w:r>
        <w:rPr>
          <w:rFonts w:ascii="Century Gothic" w:eastAsia="Times New Roman" w:hAnsi="Century Gothic" w:cs="Times New Roman"/>
          <w:color w:val="000000"/>
        </w:rPr>
        <w:t xml:space="preserve">House </w:t>
      </w:r>
      <w:r w:rsidR="00637030" w:rsidRPr="0051484F">
        <w:rPr>
          <w:rFonts w:ascii="Century Gothic" w:eastAsia="Times New Roman" w:hAnsi="Century Gothic" w:cs="Times New Roman"/>
          <w:color w:val="000000"/>
        </w:rPr>
        <w:t>Office Building</w:t>
      </w:r>
    </w:p>
    <w:p w14:paraId="3EAB62BB" w14:textId="769C9037" w:rsidR="00637030" w:rsidRPr="0051484F" w:rsidRDefault="00637030" w:rsidP="00637030">
      <w:pPr>
        <w:spacing w:after="0" w:line="240" w:lineRule="auto"/>
        <w:jc w:val="both"/>
        <w:rPr>
          <w:rFonts w:ascii="Century Gothic" w:eastAsia="Times New Roman" w:hAnsi="Century Gothic" w:cs="Times New Roman"/>
          <w:color w:val="000000"/>
        </w:rPr>
      </w:pPr>
      <w:r w:rsidRPr="0051484F">
        <w:rPr>
          <w:rFonts w:ascii="Century Gothic" w:eastAsia="Times New Roman" w:hAnsi="Century Gothic" w:cs="Times New Roman"/>
          <w:color w:val="000000"/>
        </w:rPr>
        <w:t>Washington, D.C. 2051</w:t>
      </w:r>
      <w:r w:rsidR="00E12360">
        <w:rPr>
          <w:rFonts w:ascii="Century Gothic" w:eastAsia="Times New Roman" w:hAnsi="Century Gothic" w:cs="Times New Roman"/>
          <w:color w:val="000000"/>
        </w:rPr>
        <w:t>5</w:t>
      </w:r>
    </w:p>
    <w:p w14:paraId="18797475" w14:textId="1F8DB227" w:rsidR="00E12360" w:rsidRPr="0051484F" w:rsidRDefault="00E12360" w:rsidP="00E12360">
      <w:pPr>
        <w:spacing w:after="0" w:line="240" w:lineRule="auto"/>
        <w:jc w:val="both"/>
        <w:rPr>
          <w:rFonts w:ascii="Century Gothic" w:eastAsia="Times New Roman" w:hAnsi="Century Gothic" w:cs="Times New Roman"/>
          <w:color w:val="000000"/>
        </w:rPr>
      </w:pPr>
      <w:r w:rsidRPr="0051484F">
        <w:rPr>
          <w:rFonts w:ascii="Century Gothic" w:eastAsia="Times New Roman" w:hAnsi="Century Gothic" w:cs="Times New Roman"/>
          <w:color w:val="000000"/>
        </w:rPr>
        <w:t xml:space="preserve">The Honorable </w:t>
      </w:r>
      <w:r w:rsidRPr="00E12360">
        <w:rPr>
          <w:rFonts w:ascii="Century Gothic" w:eastAsia="Times New Roman" w:hAnsi="Century Gothic" w:cs="Times New Roman"/>
          <w:color w:val="000000"/>
        </w:rPr>
        <w:t>Larry Bucshon</w:t>
      </w:r>
    </w:p>
    <w:p w14:paraId="067570EB" w14:textId="77777777" w:rsidR="00E12360" w:rsidRPr="0051484F" w:rsidRDefault="00E12360" w:rsidP="00E12360">
      <w:pPr>
        <w:spacing w:after="0" w:line="240" w:lineRule="auto"/>
        <w:jc w:val="both"/>
        <w:rPr>
          <w:rFonts w:ascii="Century Gothic" w:eastAsia="Times New Roman" w:hAnsi="Century Gothic" w:cs="Times New Roman"/>
          <w:color w:val="000000"/>
        </w:rPr>
      </w:pPr>
      <w:r>
        <w:rPr>
          <w:rFonts w:ascii="Century Gothic" w:eastAsia="Times New Roman" w:hAnsi="Century Gothic" w:cs="Times New Roman"/>
          <w:color w:val="000000"/>
        </w:rPr>
        <w:t>US House of Representatives</w:t>
      </w:r>
    </w:p>
    <w:p w14:paraId="627994A0" w14:textId="5EFDE3DA" w:rsidR="00E12360" w:rsidRPr="0051484F" w:rsidRDefault="00E12360" w:rsidP="00E12360">
      <w:pPr>
        <w:spacing w:after="0" w:line="240" w:lineRule="auto"/>
        <w:jc w:val="both"/>
        <w:rPr>
          <w:rFonts w:ascii="Century Gothic" w:eastAsia="Times New Roman" w:hAnsi="Century Gothic" w:cs="Times New Roman"/>
          <w:color w:val="000000"/>
        </w:rPr>
      </w:pPr>
      <w:r>
        <w:rPr>
          <w:rFonts w:ascii="Century Gothic" w:eastAsia="Times New Roman" w:hAnsi="Century Gothic" w:cs="Times New Roman"/>
          <w:color w:val="000000"/>
        </w:rPr>
        <w:t>2313</w:t>
      </w:r>
      <w:r w:rsidRPr="0051484F">
        <w:rPr>
          <w:rFonts w:ascii="Century Gothic" w:eastAsia="Times New Roman" w:hAnsi="Century Gothic" w:cs="Times New Roman"/>
          <w:color w:val="000000"/>
        </w:rPr>
        <w:t xml:space="preserve"> </w:t>
      </w:r>
      <w:r>
        <w:rPr>
          <w:rFonts w:ascii="Century Gothic" w:eastAsia="Times New Roman" w:hAnsi="Century Gothic" w:cs="Times New Roman"/>
          <w:color w:val="000000"/>
        </w:rPr>
        <w:t>Rayburn</w:t>
      </w:r>
      <w:r w:rsidRPr="0051484F">
        <w:rPr>
          <w:rFonts w:ascii="Century Gothic" w:eastAsia="Times New Roman" w:hAnsi="Century Gothic" w:cs="Times New Roman"/>
          <w:color w:val="000000"/>
        </w:rPr>
        <w:t xml:space="preserve"> </w:t>
      </w:r>
      <w:r>
        <w:rPr>
          <w:rFonts w:ascii="Century Gothic" w:eastAsia="Times New Roman" w:hAnsi="Century Gothic" w:cs="Times New Roman"/>
          <w:color w:val="000000"/>
        </w:rPr>
        <w:t xml:space="preserve">House </w:t>
      </w:r>
      <w:r w:rsidRPr="0051484F">
        <w:rPr>
          <w:rFonts w:ascii="Century Gothic" w:eastAsia="Times New Roman" w:hAnsi="Century Gothic" w:cs="Times New Roman"/>
          <w:color w:val="000000"/>
        </w:rPr>
        <w:t>Office Building</w:t>
      </w:r>
    </w:p>
    <w:p w14:paraId="6D47B33C" w14:textId="77777777" w:rsidR="00E12360" w:rsidRPr="0051484F" w:rsidRDefault="00E12360" w:rsidP="00E12360">
      <w:pPr>
        <w:spacing w:after="0" w:line="240" w:lineRule="auto"/>
        <w:jc w:val="both"/>
        <w:rPr>
          <w:rFonts w:ascii="Century Gothic" w:eastAsia="Times New Roman" w:hAnsi="Century Gothic" w:cs="Times New Roman"/>
          <w:color w:val="000000"/>
        </w:rPr>
      </w:pPr>
      <w:r w:rsidRPr="0051484F">
        <w:rPr>
          <w:rFonts w:ascii="Century Gothic" w:eastAsia="Times New Roman" w:hAnsi="Century Gothic" w:cs="Times New Roman"/>
          <w:color w:val="000000"/>
        </w:rPr>
        <w:t>Washington, D.C. 2051</w:t>
      </w:r>
      <w:r>
        <w:rPr>
          <w:rFonts w:ascii="Century Gothic" w:eastAsia="Times New Roman" w:hAnsi="Century Gothic" w:cs="Times New Roman"/>
          <w:color w:val="000000"/>
        </w:rPr>
        <w:t>5</w:t>
      </w:r>
    </w:p>
    <w:p w14:paraId="3A507625" w14:textId="6C68F50C" w:rsidR="00E12360" w:rsidRDefault="00E12360" w:rsidP="00637030">
      <w:pPr>
        <w:spacing w:after="0" w:line="264" w:lineRule="auto"/>
        <w:rPr>
          <w:rFonts w:ascii="Century Gothic" w:eastAsia="Times New Roman" w:hAnsi="Century Gothic" w:cs="Times New Roman"/>
          <w:color w:val="000000"/>
        </w:rPr>
        <w:sectPr w:rsidR="00E12360" w:rsidSect="007B338C">
          <w:type w:val="continuous"/>
          <w:pgSz w:w="12240" w:h="15840"/>
          <w:pgMar w:top="1440" w:right="1080" w:bottom="1440" w:left="1080" w:header="720" w:footer="720" w:gutter="0"/>
          <w:pgNumType w:start="1"/>
          <w:cols w:num="2" w:space="720"/>
          <w:titlePg/>
          <w:docGrid w:linePitch="299"/>
        </w:sectPr>
      </w:pPr>
    </w:p>
    <w:p w14:paraId="27DDFB2A" w14:textId="77777777" w:rsidR="007B338C" w:rsidRDefault="007B338C" w:rsidP="00E12360">
      <w:pPr>
        <w:spacing w:after="0" w:line="264" w:lineRule="auto"/>
        <w:rPr>
          <w:rFonts w:ascii="Century Gothic" w:eastAsia="Times New Roman" w:hAnsi="Century Gothic" w:cs="Times New Roman"/>
          <w:color w:val="000000"/>
        </w:rPr>
      </w:pPr>
    </w:p>
    <w:p w14:paraId="09845B1B" w14:textId="7023C8DF" w:rsidR="00E12360" w:rsidRPr="00E12360" w:rsidRDefault="00E12360" w:rsidP="00E12360">
      <w:pPr>
        <w:spacing w:after="0" w:line="264" w:lineRule="auto"/>
        <w:rPr>
          <w:rFonts w:ascii="Century Gothic" w:eastAsia="Times New Roman" w:hAnsi="Century Gothic" w:cs="Times New Roman"/>
          <w:color w:val="000000"/>
        </w:rPr>
      </w:pPr>
      <w:r w:rsidRPr="00E12360">
        <w:rPr>
          <w:rFonts w:ascii="Century Gothic" w:eastAsia="Times New Roman" w:hAnsi="Century Gothic" w:cs="Times New Roman"/>
          <w:color w:val="000000"/>
        </w:rPr>
        <w:t xml:space="preserve">The Honorable </w:t>
      </w:r>
      <w:r>
        <w:rPr>
          <w:rFonts w:ascii="Century Gothic" w:eastAsia="Times New Roman" w:hAnsi="Century Gothic" w:cs="Times New Roman"/>
          <w:color w:val="000000"/>
        </w:rPr>
        <w:t xml:space="preserve">Ann </w:t>
      </w:r>
      <w:proofErr w:type="spellStart"/>
      <w:r>
        <w:rPr>
          <w:rFonts w:ascii="Century Gothic" w:eastAsia="Times New Roman" w:hAnsi="Century Gothic" w:cs="Times New Roman"/>
          <w:color w:val="000000"/>
        </w:rPr>
        <w:t>Kuster</w:t>
      </w:r>
      <w:proofErr w:type="spellEnd"/>
    </w:p>
    <w:p w14:paraId="35A7DCAC" w14:textId="77777777" w:rsidR="00E12360" w:rsidRPr="00E12360" w:rsidRDefault="00E12360" w:rsidP="00E12360">
      <w:pPr>
        <w:spacing w:after="0" w:line="264" w:lineRule="auto"/>
        <w:rPr>
          <w:rFonts w:ascii="Century Gothic" w:eastAsia="Times New Roman" w:hAnsi="Century Gothic" w:cs="Times New Roman"/>
          <w:color w:val="000000"/>
        </w:rPr>
      </w:pPr>
      <w:r w:rsidRPr="00E12360">
        <w:rPr>
          <w:rFonts w:ascii="Century Gothic" w:eastAsia="Times New Roman" w:hAnsi="Century Gothic" w:cs="Times New Roman"/>
          <w:color w:val="000000"/>
        </w:rPr>
        <w:t>US House of Representatives</w:t>
      </w:r>
    </w:p>
    <w:p w14:paraId="03C97F5D" w14:textId="0C446844" w:rsidR="00E12360" w:rsidRPr="00E12360" w:rsidRDefault="00E12360" w:rsidP="00E12360">
      <w:pPr>
        <w:spacing w:after="0" w:line="264" w:lineRule="auto"/>
        <w:rPr>
          <w:rFonts w:ascii="Century Gothic" w:eastAsia="Times New Roman" w:hAnsi="Century Gothic" w:cs="Times New Roman"/>
          <w:color w:val="000000"/>
        </w:rPr>
      </w:pPr>
      <w:r w:rsidRPr="00E12360">
        <w:rPr>
          <w:rFonts w:ascii="Century Gothic" w:eastAsia="Times New Roman" w:hAnsi="Century Gothic" w:cs="Times New Roman"/>
          <w:color w:val="000000"/>
        </w:rPr>
        <w:t xml:space="preserve">320 </w:t>
      </w:r>
      <w:r>
        <w:rPr>
          <w:rFonts w:ascii="Century Gothic" w:eastAsia="Times New Roman" w:hAnsi="Century Gothic" w:cs="Times New Roman"/>
          <w:color w:val="000000"/>
        </w:rPr>
        <w:t>Cannon House</w:t>
      </w:r>
      <w:r w:rsidRPr="00E12360">
        <w:rPr>
          <w:rFonts w:ascii="Century Gothic" w:eastAsia="Times New Roman" w:hAnsi="Century Gothic" w:cs="Times New Roman"/>
          <w:color w:val="000000"/>
        </w:rPr>
        <w:t xml:space="preserve"> Office Building</w:t>
      </w:r>
    </w:p>
    <w:p w14:paraId="0398F95D" w14:textId="68ED219B" w:rsidR="00925307" w:rsidRDefault="00E12360" w:rsidP="00E12360">
      <w:pPr>
        <w:spacing w:after="0" w:line="264" w:lineRule="auto"/>
        <w:rPr>
          <w:rFonts w:ascii="Century Gothic" w:eastAsia="Times New Roman" w:hAnsi="Century Gothic" w:cs="Times New Roman"/>
          <w:color w:val="000000"/>
        </w:rPr>
      </w:pPr>
      <w:r w:rsidRPr="00E12360">
        <w:rPr>
          <w:rFonts w:ascii="Century Gothic" w:eastAsia="Times New Roman" w:hAnsi="Century Gothic" w:cs="Times New Roman"/>
          <w:color w:val="000000"/>
        </w:rPr>
        <w:t>Washington, D.C. 20515</w:t>
      </w:r>
    </w:p>
    <w:p w14:paraId="3A2536E6" w14:textId="77777777" w:rsidR="007B338C" w:rsidRDefault="007B338C" w:rsidP="00E12360">
      <w:pPr>
        <w:spacing w:after="0" w:line="264" w:lineRule="auto"/>
        <w:rPr>
          <w:rFonts w:ascii="Century Gothic" w:eastAsia="Times New Roman" w:hAnsi="Century Gothic" w:cs="Times New Roman"/>
          <w:color w:val="000000"/>
        </w:rPr>
      </w:pPr>
    </w:p>
    <w:p w14:paraId="270DA00E" w14:textId="09F94052" w:rsidR="00E12360" w:rsidRPr="00E12360" w:rsidRDefault="00E12360" w:rsidP="00E12360">
      <w:pPr>
        <w:spacing w:after="0" w:line="264" w:lineRule="auto"/>
        <w:rPr>
          <w:rFonts w:ascii="Century Gothic" w:eastAsia="Times New Roman" w:hAnsi="Century Gothic" w:cs="Times New Roman"/>
          <w:color w:val="000000"/>
        </w:rPr>
      </w:pPr>
      <w:r w:rsidRPr="00E12360">
        <w:rPr>
          <w:rFonts w:ascii="Century Gothic" w:eastAsia="Times New Roman" w:hAnsi="Century Gothic" w:cs="Times New Roman"/>
          <w:color w:val="000000"/>
        </w:rPr>
        <w:t xml:space="preserve">The Honorable </w:t>
      </w:r>
      <w:r w:rsidR="007B338C">
        <w:rPr>
          <w:rFonts w:ascii="Century Gothic" w:eastAsia="Times New Roman" w:hAnsi="Century Gothic" w:cs="Times New Roman"/>
          <w:color w:val="000000"/>
        </w:rPr>
        <w:t>Phil Roe</w:t>
      </w:r>
    </w:p>
    <w:p w14:paraId="50C1F268" w14:textId="77777777" w:rsidR="00E12360" w:rsidRPr="00E12360" w:rsidRDefault="00E12360" w:rsidP="00E12360">
      <w:pPr>
        <w:spacing w:after="0" w:line="264" w:lineRule="auto"/>
        <w:rPr>
          <w:rFonts w:ascii="Century Gothic" w:eastAsia="Times New Roman" w:hAnsi="Century Gothic" w:cs="Times New Roman"/>
          <w:color w:val="000000"/>
        </w:rPr>
      </w:pPr>
      <w:r w:rsidRPr="00E12360">
        <w:rPr>
          <w:rFonts w:ascii="Century Gothic" w:eastAsia="Times New Roman" w:hAnsi="Century Gothic" w:cs="Times New Roman"/>
          <w:color w:val="000000"/>
        </w:rPr>
        <w:t>US House of Representatives</w:t>
      </w:r>
    </w:p>
    <w:p w14:paraId="3B7D57E6" w14:textId="28A7A36F" w:rsidR="00E12360" w:rsidRPr="00E12360" w:rsidRDefault="00E12360" w:rsidP="00E12360">
      <w:pPr>
        <w:spacing w:after="0" w:line="264" w:lineRule="auto"/>
        <w:rPr>
          <w:rFonts w:ascii="Century Gothic" w:eastAsia="Times New Roman" w:hAnsi="Century Gothic" w:cs="Times New Roman"/>
          <w:color w:val="000000"/>
        </w:rPr>
      </w:pPr>
      <w:r w:rsidRPr="00E12360">
        <w:rPr>
          <w:rFonts w:ascii="Century Gothic" w:eastAsia="Times New Roman" w:hAnsi="Century Gothic" w:cs="Times New Roman"/>
          <w:color w:val="000000"/>
        </w:rPr>
        <w:t>10</w:t>
      </w:r>
      <w:r w:rsidR="007B338C">
        <w:rPr>
          <w:rFonts w:ascii="Century Gothic" w:eastAsia="Times New Roman" w:hAnsi="Century Gothic" w:cs="Times New Roman"/>
          <w:color w:val="000000"/>
        </w:rPr>
        <w:t>2</w:t>
      </w:r>
      <w:r w:rsidRPr="00E12360">
        <w:rPr>
          <w:rFonts w:ascii="Century Gothic" w:eastAsia="Times New Roman" w:hAnsi="Century Gothic" w:cs="Times New Roman"/>
          <w:color w:val="000000"/>
        </w:rPr>
        <w:t xml:space="preserve"> </w:t>
      </w:r>
      <w:r w:rsidR="007B338C">
        <w:rPr>
          <w:rFonts w:ascii="Century Gothic" w:eastAsia="Times New Roman" w:hAnsi="Century Gothic" w:cs="Times New Roman"/>
          <w:color w:val="000000"/>
        </w:rPr>
        <w:t xml:space="preserve">Cannon House </w:t>
      </w:r>
      <w:r w:rsidRPr="00E12360">
        <w:rPr>
          <w:rFonts w:ascii="Century Gothic" w:eastAsia="Times New Roman" w:hAnsi="Century Gothic" w:cs="Times New Roman"/>
          <w:color w:val="000000"/>
        </w:rPr>
        <w:t>Office Building</w:t>
      </w:r>
    </w:p>
    <w:p w14:paraId="6C2F1DF5" w14:textId="52A1DD68" w:rsidR="00E12360" w:rsidRDefault="00E12360" w:rsidP="00E12360">
      <w:pPr>
        <w:spacing w:after="0" w:line="264" w:lineRule="auto"/>
        <w:rPr>
          <w:rFonts w:ascii="Century Gothic" w:eastAsia="Times New Roman" w:hAnsi="Century Gothic" w:cs="Times New Roman"/>
          <w:color w:val="000000"/>
        </w:rPr>
      </w:pPr>
      <w:r w:rsidRPr="00E12360">
        <w:rPr>
          <w:rFonts w:ascii="Century Gothic" w:eastAsia="Times New Roman" w:hAnsi="Century Gothic" w:cs="Times New Roman"/>
          <w:color w:val="000000"/>
        </w:rPr>
        <w:t>Washington, D.C. 20515</w:t>
      </w:r>
    </w:p>
    <w:p w14:paraId="1E7B02B6" w14:textId="77777777" w:rsidR="007B338C" w:rsidRDefault="007B338C" w:rsidP="00E12360">
      <w:pPr>
        <w:spacing w:after="0" w:line="264" w:lineRule="auto"/>
        <w:rPr>
          <w:rFonts w:ascii="Century Gothic" w:eastAsia="Times New Roman" w:hAnsi="Century Gothic" w:cs="Times New Roman"/>
          <w:color w:val="000000"/>
        </w:rPr>
        <w:sectPr w:rsidR="007B338C" w:rsidSect="007B338C">
          <w:type w:val="continuous"/>
          <w:pgSz w:w="12240" w:h="15840"/>
          <w:pgMar w:top="1440" w:right="1080" w:bottom="1440" w:left="1080" w:header="720" w:footer="720" w:gutter="0"/>
          <w:pgNumType w:start="1"/>
          <w:cols w:num="2" w:space="720"/>
          <w:titlePg/>
          <w:docGrid w:linePitch="299"/>
        </w:sectPr>
      </w:pPr>
    </w:p>
    <w:p w14:paraId="30949E25" w14:textId="4235A155" w:rsidR="00E12360" w:rsidRDefault="00E12360" w:rsidP="00E12360">
      <w:pPr>
        <w:spacing w:after="0" w:line="264" w:lineRule="auto"/>
        <w:rPr>
          <w:rFonts w:ascii="Century Gothic" w:eastAsia="Times New Roman" w:hAnsi="Century Gothic" w:cs="Times New Roman"/>
          <w:color w:val="000000"/>
        </w:rPr>
      </w:pPr>
    </w:p>
    <w:p w14:paraId="58FACE91" w14:textId="6677C880" w:rsidR="00637030" w:rsidRPr="0051484F" w:rsidRDefault="00637030" w:rsidP="00637030">
      <w:pPr>
        <w:spacing w:after="0" w:line="264" w:lineRule="auto"/>
        <w:rPr>
          <w:rFonts w:ascii="Century Gothic" w:eastAsia="Times New Roman" w:hAnsi="Century Gothic" w:cs="Times New Roman"/>
          <w:color w:val="000000"/>
        </w:rPr>
      </w:pPr>
      <w:r w:rsidRPr="0051484F">
        <w:rPr>
          <w:rFonts w:ascii="Century Gothic" w:eastAsia="Times New Roman" w:hAnsi="Century Gothic" w:cs="Times New Roman"/>
          <w:color w:val="000000"/>
        </w:rPr>
        <w:t xml:space="preserve">Dear </w:t>
      </w:r>
      <w:r w:rsidR="007B338C">
        <w:rPr>
          <w:rFonts w:ascii="Century Gothic" w:eastAsia="Times New Roman" w:hAnsi="Century Gothic" w:cs="Times New Roman"/>
          <w:color w:val="000000"/>
        </w:rPr>
        <w:t xml:space="preserve">Representatives Shalala, </w:t>
      </w:r>
      <w:proofErr w:type="spellStart"/>
      <w:r w:rsidR="007B338C">
        <w:rPr>
          <w:rFonts w:ascii="Century Gothic" w:eastAsia="Times New Roman" w:hAnsi="Century Gothic" w:cs="Times New Roman"/>
          <w:color w:val="000000"/>
        </w:rPr>
        <w:t>Buchson</w:t>
      </w:r>
      <w:proofErr w:type="spellEnd"/>
      <w:r w:rsidR="007B338C">
        <w:rPr>
          <w:rFonts w:ascii="Century Gothic" w:eastAsia="Times New Roman" w:hAnsi="Century Gothic" w:cs="Times New Roman"/>
          <w:color w:val="000000"/>
        </w:rPr>
        <w:t xml:space="preserve">, </w:t>
      </w:r>
      <w:proofErr w:type="spellStart"/>
      <w:r w:rsidR="007B338C">
        <w:rPr>
          <w:rFonts w:ascii="Century Gothic" w:eastAsia="Times New Roman" w:hAnsi="Century Gothic" w:cs="Times New Roman"/>
          <w:color w:val="000000"/>
        </w:rPr>
        <w:t>Kuster</w:t>
      </w:r>
      <w:proofErr w:type="spellEnd"/>
      <w:r w:rsidR="007B338C">
        <w:rPr>
          <w:rFonts w:ascii="Century Gothic" w:eastAsia="Times New Roman" w:hAnsi="Century Gothic" w:cs="Times New Roman"/>
          <w:color w:val="000000"/>
        </w:rPr>
        <w:t>, and Roe</w:t>
      </w:r>
      <w:r w:rsidR="00925307">
        <w:rPr>
          <w:rFonts w:ascii="Century Gothic" w:eastAsia="Times New Roman" w:hAnsi="Century Gothic" w:cs="Times New Roman"/>
          <w:color w:val="000000"/>
        </w:rPr>
        <w:t xml:space="preserve">, </w:t>
      </w:r>
    </w:p>
    <w:p w14:paraId="28D363B3" w14:textId="77777777" w:rsidR="00637030" w:rsidRPr="0051484F" w:rsidRDefault="00637030" w:rsidP="00637030">
      <w:pPr>
        <w:spacing w:after="0" w:line="264" w:lineRule="auto"/>
        <w:rPr>
          <w:rFonts w:ascii="Century Gothic" w:eastAsia="Times New Roman" w:hAnsi="Century Gothic" w:cs="Times New Roman"/>
          <w:color w:val="000000"/>
        </w:rPr>
      </w:pPr>
    </w:p>
    <w:p w14:paraId="50A48765" w14:textId="2FB475A9" w:rsidR="00637030" w:rsidRPr="0051484F" w:rsidRDefault="00637030" w:rsidP="00637030">
      <w:pPr>
        <w:pStyle w:val="NoSpacing"/>
        <w:spacing w:line="276" w:lineRule="auto"/>
        <w:rPr>
          <w:rFonts w:ascii="Century Gothic" w:hAnsi="Century Gothic"/>
        </w:rPr>
      </w:pPr>
      <w:r w:rsidRPr="0051484F">
        <w:rPr>
          <w:rFonts w:ascii="Century Gothic" w:hAnsi="Century Gothic"/>
          <w:color w:val="000000"/>
        </w:rPr>
        <w:t xml:space="preserve">As members of the Adult Vaccine Access Coalition (AVAC), we </w:t>
      </w:r>
      <w:r w:rsidRPr="0051484F">
        <w:rPr>
          <w:rFonts w:ascii="Century Gothic" w:hAnsi="Century Gothic"/>
        </w:rPr>
        <w:t xml:space="preserve">would like to take this opportunity to commend you </w:t>
      </w:r>
      <w:r w:rsidR="00F160C5" w:rsidRPr="0051484F">
        <w:rPr>
          <w:rFonts w:ascii="Century Gothic" w:hAnsi="Century Gothic"/>
        </w:rPr>
        <w:t xml:space="preserve">for introducing </w:t>
      </w:r>
      <w:r w:rsidRPr="0051484F">
        <w:rPr>
          <w:rFonts w:ascii="Century Gothic" w:hAnsi="Century Gothic"/>
        </w:rPr>
        <w:t xml:space="preserve">the </w:t>
      </w:r>
      <w:r w:rsidR="00E86B5D" w:rsidRPr="0051484F">
        <w:rPr>
          <w:rFonts w:ascii="Century Gothic" w:hAnsi="Century Gothic"/>
          <w:i/>
        </w:rPr>
        <w:t>Protecting Seniors Through Immunization Act of 2019</w:t>
      </w:r>
      <w:r w:rsidRPr="0051484F">
        <w:rPr>
          <w:rFonts w:ascii="Century Gothic" w:hAnsi="Century Gothic"/>
        </w:rPr>
        <w:t>.</w:t>
      </w:r>
    </w:p>
    <w:p w14:paraId="1C30EDBB" w14:textId="5908F00F" w:rsidR="00637030" w:rsidRPr="0051484F" w:rsidRDefault="0051484F" w:rsidP="0051484F">
      <w:pPr>
        <w:pStyle w:val="NormalWeb"/>
        <w:spacing w:after="0" w:afterAutospacing="0"/>
        <w:rPr>
          <w:rFonts w:ascii="Century Gothic" w:hAnsi="Century Gothic"/>
          <w:color w:val="000000"/>
          <w:sz w:val="22"/>
          <w:szCs w:val="22"/>
        </w:rPr>
      </w:pPr>
      <w:r w:rsidRPr="0051484F">
        <w:rPr>
          <w:rFonts w:ascii="Century Gothic" w:hAnsi="Century Gothic"/>
          <w:color w:val="222222"/>
          <w:sz w:val="22"/>
          <w:szCs w:val="22"/>
        </w:rPr>
        <w:t xml:space="preserve">AVAC consists of more than fifty organizational </w:t>
      </w:r>
      <w:hyperlink r:id="rId16">
        <w:r w:rsidRPr="0051484F">
          <w:rPr>
            <w:rFonts w:ascii="Century Gothic" w:hAnsi="Century Gothic"/>
            <w:color w:val="0563C1"/>
            <w:sz w:val="22"/>
            <w:szCs w:val="22"/>
            <w:u w:val="single"/>
          </w:rPr>
          <w:t>leaders</w:t>
        </w:r>
      </w:hyperlink>
      <w:r w:rsidRPr="0051484F">
        <w:rPr>
          <w:rFonts w:ascii="Century Gothic" w:hAnsi="Century Gothic"/>
          <w:color w:val="000000"/>
          <w:sz w:val="22"/>
          <w:szCs w:val="22"/>
        </w:rPr>
        <w:t xml:space="preserve"> </w:t>
      </w:r>
      <w:r w:rsidRPr="0051484F">
        <w:rPr>
          <w:rFonts w:ascii="Century Gothic" w:hAnsi="Century Gothic"/>
          <w:color w:val="222222"/>
          <w:sz w:val="22"/>
          <w:szCs w:val="22"/>
        </w:rPr>
        <w:t>in health and public health who are committed to raising awareness of the importance of adult immunization with the ultimate goal of addressing barriers to adult immunization. Our mission is informed by scientific and empirical evidence that shows immunization improves health and protects lives against a variety of debilitating and potentially deadly conditions, saving costs to the healthcare system and to society as a whole. AVAC priorities and objectives are driven by a consensus process with the goal of enabling a range of stakeholders to have a voice in the effort to improve access and utilization of adult immunizations. </w:t>
      </w:r>
      <w:r w:rsidRPr="0051484F">
        <w:rPr>
          <w:rStyle w:val="apple-converted-space"/>
          <w:rFonts w:ascii="Century Gothic" w:hAnsi="Century Gothic"/>
          <w:color w:val="222222"/>
          <w:sz w:val="22"/>
          <w:szCs w:val="22"/>
        </w:rPr>
        <w:t> </w:t>
      </w:r>
      <w:r w:rsidR="00637030" w:rsidRPr="0051484F">
        <w:rPr>
          <w:rFonts w:ascii="Century Gothic" w:hAnsi="Century Gothic"/>
          <w:color w:val="000000"/>
          <w:sz w:val="22"/>
          <w:szCs w:val="22"/>
        </w:rPr>
        <w:t xml:space="preserve">A top priority for AVAC is to achieve increased adult immunization rates through </w:t>
      </w:r>
      <w:r w:rsidR="00AB0CB3" w:rsidRPr="0051484F">
        <w:rPr>
          <w:rFonts w:ascii="Century Gothic" w:hAnsi="Century Gothic"/>
          <w:color w:val="000000"/>
          <w:sz w:val="22"/>
          <w:szCs w:val="22"/>
        </w:rPr>
        <w:t>improv</w:t>
      </w:r>
      <w:r w:rsidR="00A1245D" w:rsidRPr="0051484F">
        <w:rPr>
          <w:rFonts w:ascii="Century Gothic" w:hAnsi="Century Gothic"/>
          <w:color w:val="000000"/>
          <w:sz w:val="22"/>
          <w:szCs w:val="22"/>
        </w:rPr>
        <w:t>ing</w:t>
      </w:r>
      <w:r w:rsidR="00AB0CB3" w:rsidRPr="0051484F">
        <w:rPr>
          <w:rFonts w:ascii="Century Gothic" w:hAnsi="Century Gothic"/>
          <w:color w:val="000000"/>
          <w:sz w:val="22"/>
          <w:szCs w:val="22"/>
        </w:rPr>
        <w:t xml:space="preserve"> education and awareness of recommended </w:t>
      </w:r>
      <w:r w:rsidR="000D3D7F" w:rsidRPr="0051484F">
        <w:rPr>
          <w:rFonts w:ascii="Century Gothic" w:hAnsi="Century Gothic"/>
          <w:color w:val="000000"/>
          <w:sz w:val="22"/>
          <w:szCs w:val="22"/>
        </w:rPr>
        <w:t xml:space="preserve">vaccines and addressing challenges </w:t>
      </w:r>
      <w:r w:rsidR="00525A59" w:rsidRPr="0051484F">
        <w:rPr>
          <w:rFonts w:ascii="Century Gothic" w:hAnsi="Century Gothic"/>
          <w:color w:val="000000"/>
          <w:sz w:val="22"/>
          <w:szCs w:val="22"/>
        </w:rPr>
        <w:t xml:space="preserve">to </w:t>
      </w:r>
      <w:r w:rsidR="000D3D7F" w:rsidRPr="0051484F">
        <w:rPr>
          <w:rFonts w:ascii="Century Gothic" w:hAnsi="Century Gothic"/>
          <w:color w:val="000000"/>
          <w:sz w:val="22"/>
          <w:szCs w:val="22"/>
        </w:rPr>
        <w:t>access</w:t>
      </w:r>
      <w:r w:rsidR="00637030" w:rsidRPr="0051484F">
        <w:rPr>
          <w:rFonts w:ascii="Century Gothic" w:hAnsi="Century Gothic"/>
          <w:color w:val="000000"/>
          <w:sz w:val="22"/>
          <w:szCs w:val="22"/>
        </w:rPr>
        <w:t xml:space="preserve">.  </w:t>
      </w:r>
    </w:p>
    <w:p w14:paraId="1C1CD1E3" w14:textId="3431FC72" w:rsidR="00637030" w:rsidRPr="0051484F" w:rsidRDefault="00637030" w:rsidP="00637030">
      <w:pPr>
        <w:spacing w:after="0" w:line="264" w:lineRule="auto"/>
        <w:rPr>
          <w:rFonts w:ascii="Century Gothic" w:eastAsia="Times New Roman" w:hAnsi="Century Gothic" w:cs="Times New Roman"/>
          <w:color w:val="000000"/>
        </w:rPr>
      </w:pPr>
    </w:p>
    <w:p w14:paraId="74D114D0" w14:textId="2826ED00" w:rsidR="00F94DC8" w:rsidRDefault="0051484F" w:rsidP="005F4F97">
      <w:pPr>
        <w:spacing w:after="0" w:line="264" w:lineRule="auto"/>
        <w:rPr>
          <w:rFonts w:ascii="Century Gothic" w:eastAsia="Times New Roman" w:hAnsi="Century Gothic" w:cs="Times New Roman"/>
          <w:color w:val="000000"/>
        </w:rPr>
      </w:pPr>
      <w:r w:rsidRPr="0051484F">
        <w:rPr>
          <w:rFonts w:ascii="Century Gothic" w:eastAsia="Times New Roman" w:hAnsi="Century Gothic" w:cs="Times New Roman"/>
          <w:color w:val="000000"/>
        </w:rPr>
        <w:t>Immunizations are a cornerstone of our nation's disease prevention efforts and have a demonstrated track record of success as a cost-effective means of reducing disease burden and saving lives among pediatric populations. The CDC estimates that over 20 years, childhood immunizations prevent 732,000 deaths and 21 million hospitalizations</w:t>
      </w:r>
      <w:r w:rsidR="007C6962">
        <w:rPr>
          <w:rFonts w:ascii="Century Gothic" w:eastAsia="Times New Roman" w:hAnsi="Century Gothic" w:cs="Times New Roman"/>
          <w:color w:val="000000"/>
        </w:rPr>
        <w:t>. T</w:t>
      </w:r>
      <w:r w:rsidR="007C6962" w:rsidRPr="007C6962">
        <w:rPr>
          <w:rFonts w:ascii="Century Gothic" w:eastAsia="Times New Roman" w:hAnsi="Century Gothic" w:cs="Times New Roman"/>
          <w:color w:val="000000"/>
        </w:rPr>
        <w:t>he HHS Strategic Plan FY2018–2022, acknowledges that “infectious diseases are a major health and economic burden for the United States</w:t>
      </w:r>
      <w:r w:rsidR="007C6962">
        <w:rPr>
          <w:rFonts w:ascii="Century Gothic" w:eastAsia="Times New Roman" w:hAnsi="Century Gothic" w:cs="Times New Roman"/>
          <w:color w:val="000000"/>
        </w:rPr>
        <w:t xml:space="preserve">, and </w:t>
      </w:r>
      <w:r w:rsidR="007C6962" w:rsidRPr="007C6962">
        <w:rPr>
          <w:rFonts w:ascii="Century Gothic" w:eastAsia="Times New Roman" w:hAnsi="Century Gothic" w:cs="Times New Roman"/>
          <w:color w:val="000000"/>
        </w:rPr>
        <w:t>makes a commitment to “support access to preventive services including immunizations and screenings, especially for high-risk, high-need populations.</w:t>
      </w:r>
      <w:r w:rsidR="0050142A">
        <w:rPr>
          <w:rFonts w:ascii="Century Gothic" w:eastAsia="Times New Roman" w:hAnsi="Century Gothic" w:cs="Times New Roman"/>
          <w:color w:val="000000"/>
        </w:rPr>
        <w:t>”</w:t>
      </w:r>
      <w:r w:rsidR="007C6962">
        <w:rPr>
          <w:rFonts w:ascii="Century Gothic" w:eastAsia="Times New Roman" w:hAnsi="Century Gothic" w:cs="Times New Roman"/>
          <w:color w:val="000000"/>
        </w:rPr>
        <w:t xml:space="preserve"> Yet, d</w:t>
      </w:r>
      <w:r w:rsidRPr="0051484F">
        <w:rPr>
          <w:rFonts w:ascii="Century Gothic" w:eastAsia="Times New Roman" w:hAnsi="Century Gothic" w:cs="Times New Roman"/>
          <w:color w:val="000000"/>
        </w:rPr>
        <w:t xml:space="preserve">espite the well-known benefits of immunization, more than 50,000 adults </w:t>
      </w:r>
      <w:r w:rsidRPr="0051484F">
        <w:rPr>
          <w:rFonts w:ascii="Century Gothic" w:eastAsia="Times New Roman" w:hAnsi="Century Gothic" w:cs="Times New Roman"/>
          <w:color w:val="000000"/>
        </w:rPr>
        <w:lastRenderedPageBreak/>
        <w:t xml:space="preserve">die from vaccine-preventable diseases while adult coverage lags behind Healthy People 2020 targets for most commonly recommended vaccines: influenza, pneumococcal, tetanus, hepatitis B, herpes zoster, and HPV. Millions more adults suffer from vaccine-preventable diseases, causing them to miss work and leaving some unable to care for those who depend on them. </w:t>
      </w:r>
    </w:p>
    <w:p w14:paraId="0748522E" w14:textId="77777777" w:rsidR="00F94DC8" w:rsidRDefault="00F94DC8" w:rsidP="005F4F97">
      <w:pPr>
        <w:spacing w:after="0" w:line="264" w:lineRule="auto"/>
        <w:rPr>
          <w:rFonts w:ascii="Century Gothic" w:eastAsia="Times New Roman" w:hAnsi="Century Gothic" w:cs="Times New Roman"/>
          <w:color w:val="000000"/>
        </w:rPr>
      </w:pPr>
    </w:p>
    <w:p w14:paraId="05FB3355" w14:textId="08BC137D" w:rsidR="00425FB7" w:rsidRDefault="0051484F" w:rsidP="00425FB7">
      <w:pPr>
        <w:spacing w:after="0" w:line="264" w:lineRule="auto"/>
        <w:rPr>
          <w:rFonts w:ascii="Century Gothic" w:eastAsia="Times New Roman" w:hAnsi="Century Gothic" w:cs="Times New Roman"/>
        </w:rPr>
      </w:pPr>
      <w:r w:rsidRPr="0051484F">
        <w:rPr>
          <w:rFonts w:ascii="Century Gothic" w:eastAsia="Times New Roman" w:hAnsi="Century Gothic" w:cs="Times New Roman"/>
          <w:color w:val="000000"/>
        </w:rPr>
        <w:t xml:space="preserve">Adults seeking access to and coverage for vaccines encounter a confusing health care system that presents multiple barriers, including lack of awareness and information about recommended vaccines, financial hurdles including high cost sharing, as well as technological and logistical obstacles.  </w:t>
      </w:r>
      <w:r w:rsidR="004F1994" w:rsidRPr="0051484F">
        <w:rPr>
          <w:rFonts w:ascii="Century Gothic" w:eastAsia="Times New Roman" w:hAnsi="Century Gothic" w:cs="Times New Roman"/>
          <w:color w:val="000000"/>
        </w:rPr>
        <w:t xml:space="preserve">The </w:t>
      </w:r>
      <w:r w:rsidR="00E86B5D" w:rsidRPr="0051484F">
        <w:rPr>
          <w:rFonts w:ascii="Century Gothic" w:eastAsia="Times New Roman" w:hAnsi="Century Gothic" w:cs="Times New Roman"/>
          <w:i/>
          <w:color w:val="000000"/>
        </w:rPr>
        <w:t xml:space="preserve">Protecting Seniors Through Immunization Act of 2019 </w:t>
      </w:r>
      <w:r w:rsidR="004F1994" w:rsidRPr="0051484F">
        <w:rPr>
          <w:rFonts w:ascii="Century Gothic" w:eastAsia="Times New Roman" w:hAnsi="Century Gothic" w:cs="Times New Roman"/>
          <w:color w:val="000000"/>
        </w:rPr>
        <w:t xml:space="preserve">addresses </w:t>
      </w:r>
      <w:r>
        <w:rPr>
          <w:rFonts w:ascii="Century Gothic" w:eastAsia="Times New Roman" w:hAnsi="Century Gothic" w:cs="Times New Roman"/>
          <w:color w:val="000000"/>
        </w:rPr>
        <w:t>these</w:t>
      </w:r>
      <w:r w:rsidR="004F1994" w:rsidRPr="0051484F">
        <w:rPr>
          <w:rFonts w:ascii="Century Gothic" w:eastAsia="Times New Roman" w:hAnsi="Century Gothic" w:cs="Times New Roman"/>
          <w:color w:val="000000"/>
        </w:rPr>
        <w:t xml:space="preserve"> critical issues. </w:t>
      </w:r>
      <w:r w:rsidR="005F4F97">
        <w:rPr>
          <w:rFonts w:ascii="Century Gothic" w:eastAsia="Times New Roman" w:hAnsi="Century Gothic" w:cs="Times New Roman"/>
          <w:color w:val="000000"/>
        </w:rPr>
        <w:t xml:space="preserve">The legislation </w:t>
      </w:r>
      <w:r w:rsidR="00E86B5D" w:rsidRPr="0051484F">
        <w:rPr>
          <w:rFonts w:ascii="Century Gothic" w:eastAsia="Times New Roman" w:hAnsi="Century Gothic" w:cs="Times New Roman"/>
          <w:color w:val="000000"/>
        </w:rPr>
        <w:t xml:space="preserve">will help inform more beneficiaries about Medicare coverage for vaccines. </w:t>
      </w:r>
      <w:r w:rsidR="005F4F97">
        <w:rPr>
          <w:rFonts w:ascii="Century Gothic" w:eastAsia="Times New Roman" w:hAnsi="Century Gothic" w:cs="Times New Roman"/>
          <w:color w:val="000000"/>
        </w:rPr>
        <w:t xml:space="preserve">Often, </w:t>
      </w:r>
      <w:r w:rsidR="004F1994" w:rsidRPr="0051484F">
        <w:rPr>
          <w:rFonts w:ascii="Century Gothic" w:eastAsia="Times New Roman" w:hAnsi="Century Gothic" w:cs="Times New Roman"/>
        </w:rPr>
        <w:t xml:space="preserve">Medicare beneficiaries do not realize that coverage for immunizations is divided between Medicare Part B and Medicare Part D. While vaccines under Medicare Part B are available to beneficiaries with no cost sharing or deductibles, beneficiaries face varied cost-sharing requirements under Medicare Part D plans. </w:t>
      </w:r>
      <w:r w:rsidR="005D5532">
        <w:rPr>
          <w:rFonts w:ascii="Century Gothic" w:eastAsia="Times New Roman" w:hAnsi="Century Gothic" w:cs="Times New Roman"/>
        </w:rPr>
        <w:t>The bill brings</w:t>
      </w:r>
      <w:r w:rsidR="00E86B5D" w:rsidRPr="0051484F">
        <w:rPr>
          <w:rFonts w:ascii="Century Gothic" w:eastAsia="Times New Roman" w:hAnsi="Century Gothic" w:cs="Times New Roman"/>
        </w:rPr>
        <w:t xml:space="preserve"> parity </w:t>
      </w:r>
      <w:r w:rsidR="005D5532">
        <w:rPr>
          <w:rFonts w:ascii="Century Gothic" w:eastAsia="Times New Roman" w:hAnsi="Century Gothic" w:cs="Times New Roman"/>
        </w:rPr>
        <w:t>between</w:t>
      </w:r>
      <w:r w:rsidR="00E86B5D" w:rsidRPr="0051484F">
        <w:rPr>
          <w:rFonts w:ascii="Century Gothic" w:eastAsia="Times New Roman" w:hAnsi="Century Gothic" w:cs="Times New Roman"/>
        </w:rPr>
        <w:t xml:space="preserve"> out-</w:t>
      </w:r>
      <w:r w:rsidR="004F1994" w:rsidRPr="0051484F">
        <w:rPr>
          <w:rFonts w:ascii="Century Gothic" w:eastAsia="Times New Roman" w:hAnsi="Century Gothic" w:cs="Times New Roman"/>
        </w:rPr>
        <w:t>pocket costs</w:t>
      </w:r>
      <w:r w:rsidR="00E86B5D" w:rsidRPr="0051484F">
        <w:rPr>
          <w:rFonts w:ascii="Century Gothic" w:eastAsia="Times New Roman" w:hAnsi="Century Gothic" w:cs="Times New Roman"/>
        </w:rPr>
        <w:t xml:space="preserve"> </w:t>
      </w:r>
      <w:r w:rsidR="004A2D53">
        <w:rPr>
          <w:rFonts w:ascii="Century Gothic" w:eastAsia="Times New Roman" w:hAnsi="Century Gothic" w:cs="Times New Roman"/>
        </w:rPr>
        <w:t>between</w:t>
      </w:r>
      <w:r w:rsidR="005D5532">
        <w:rPr>
          <w:rFonts w:ascii="Century Gothic" w:eastAsia="Times New Roman" w:hAnsi="Century Gothic" w:cs="Times New Roman"/>
        </w:rPr>
        <w:t xml:space="preserve"> Medicare Part </w:t>
      </w:r>
      <w:r w:rsidR="004A2D53">
        <w:rPr>
          <w:rFonts w:ascii="Century Gothic" w:eastAsia="Times New Roman" w:hAnsi="Century Gothic" w:cs="Times New Roman"/>
        </w:rPr>
        <w:t xml:space="preserve">B and Medicare Part D. </w:t>
      </w:r>
    </w:p>
    <w:p w14:paraId="6D30975C" w14:textId="77777777" w:rsidR="00425FB7" w:rsidRDefault="00425FB7" w:rsidP="00425FB7">
      <w:pPr>
        <w:spacing w:after="0" w:line="264" w:lineRule="auto"/>
        <w:rPr>
          <w:rFonts w:ascii="Century Gothic" w:eastAsia="Times New Roman" w:hAnsi="Century Gothic" w:cs="Times New Roman"/>
        </w:rPr>
      </w:pPr>
    </w:p>
    <w:p w14:paraId="7494A36A" w14:textId="42F35787" w:rsidR="00637030" w:rsidRPr="0051484F" w:rsidRDefault="00425FB7" w:rsidP="00425FB7">
      <w:pPr>
        <w:spacing w:after="0" w:line="264" w:lineRule="auto"/>
        <w:rPr>
          <w:rFonts w:ascii="Century Gothic" w:eastAsia="Times New Roman" w:hAnsi="Century Gothic" w:cs="Times New Roman"/>
          <w:color w:val="000000"/>
        </w:rPr>
      </w:pPr>
      <w:r w:rsidRPr="00425FB7">
        <w:rPr>
          <w:rFonts w:ascii="Century Gothic" w:eastAsia="Times New Roman" w:hAnsi="Century Gothic" w:cs="Times New Roman"/>
        </w:rPr>
        <w:t>The future holds great promise for new immunizations</w:t>
      </w:r>
      <w:r w:rsidR="0050142A">
        <w:rPr>
          <w:rFonts w:ascii="Century Gothic" w:eastAsia="Times New Roman" w:hAnsi="Century Gothic" w:cs="Times New Roman"/>
        </w:rPr>
        <w:t>,</w:t>
      </w:r>
      <w:r>
        <w:rPr>
          <w:rFonts w:ascii="Century Gothic" w:eastAsia="Times New Roman" w:hAnsi="Century Gothic" w:cs="Times New Roman"/>
        </w:rPr>
        <w:t xml:space="preserve"> </w:t>
      </w:r>
      <w:r w:rsidR="005D5532">
        <w:rPr>
          <w:rFonts w:ascii="Century Gothic" w:eastAsia="Times New Roman" w:hAnsi="Century Gothic" w:cs="Times New Roman"/>
        </w:rPr>
        <w:t xml:space="preserve">specifically for </w:t>
      </w:r>
      <w:r w:rsidRPr="00425FB7">
        <w:rPr>
          <w:rFonts w:ascii="Century Gothic" w:eastAsia="Times New Roman" w:hAnsi="Century Gothic" w:cs="Times New Roman"/>
        </w:rPr>
        <w:t>older adults</w:t>
      </w:r>
      <w:r>
        <w:rPr>
          <w:rFonts w:ascii="Century Gothic" w:eastAsia="Times New Roman" w:hAnsi="Century Gothic" w:cs="Times New Roman"/>
        </w:rPr>
        <w:t>, but the</w:t>
      </w:r>
      <w:r w:rsidRPr="00425FB7">
        <w:rPr>
          <w:rFonts w:ascii="Century Gothic" w:eastAsia="Times New Roman" w:hAnsi="Century Gothic" w:cs="Times New Roman"/>
        </w:rPr>
        <w:t xml:space="preserve"> benefits of immunization cannot be realized if patients do not access the services.  </w:t>
      </w:r>
      <w:r w:rsidR="0098103A" w:rsidRPr="0051484F">
        <w:rPr>
          <w:rFonts w:ascii="Century Gothic" w:eastAsia="Times New Roman" w:hAnsi="Century Gothic" w:cs="Times New Roman"/>
          <w:color w:val="000000"/>
        </w:rPr>
        <w:t xml:space="preserve">Reducing </w:t>
      </w:r>
      <w:r w:rsidR="00637030" w:rsidRPr="0051484F">
        <w:rPr>
          <w:rFonts w:ascii="Century Gothic" w:eastAsia="Times New Roman" w:hAnsi="Century Gothic" w:cs="Times New Roman"/>
          <w:color w:val="000000"/>
        </w:rPr>
        <w:t xml:space="preserve">the number of missed immunization opportunities for Medicare beneficiaries is an important step </w:t>
      </w:r>
      <w:r w:rsidR="00A1245D" w:rsidRPr="0051484F">
        <w:rPr>
          <w:rFonts w:ascii="Century Gothic" w:eastAsia="Times New Roman" w:hAnsi="Century Gothic" w:cs="Times New Roman"/>
          <w:color w:val="000000"/>
        </w:rPr>
        <w:t>in</w:t>
      </w:r>
      <w:r w:rsidR="00637030" w:rsidRPr="0051484F">
        <w:rPr>
          <w:rFonts w:ascii="Century Gothic" w:eastAsia="Times New Roman" w:hAnsi="Century Gothic" w:cs="Times New Roman"/>
          <w:color w:val="000000"/>
        </w:rPr>
        <w:t xml:space="preserve"> improving health and reducing the burden of vaccine-preventable illness among this population.  </w:t>
      </w:r>
      <w:r w:rsidR="009A79A6" w:rsidRPr="0051484F">
        <w:rPr>
          <w:rFonts w:ascii="Century Gothic" w:eastAsia="Times New Roman" w:hAnsi="Century Gothic" w:cs="Times New Roman"/>
          <w:color w:val="000000"/>
        </w:rPr>
        <w:t>AVAC members are pleased to offer our support for this important legislation</w:t>
      </w:r>
      <w:r w:rsidR="00C7434D" w:rsidRPr="0051484F">
        <w:rPr>
          <w:rFonts w:ascii="Century Gothic" w:eastAsia="Times New Roman" w:hAnsi="Century Gothic" w:cs="Times New Roman"/>
          <w:color w:val="000000"/>
        </w:rPr>
        <w:t xml:space="preserve"> and </w:t>
      </w:r>
      <w:r>
        <w:rPr>
          <w:rFonts w:ascii="Century Gothic" w:eastAsia="Times New Roman" w:hAnsi="Century Gothic" w:cs="Times New Roman"/>
          <w:color w:val="000000"/>
        </w:rPr>
        <w:t xml:space="preserve">stand ready </w:t>
      </w:r>
      <w:r w:rsidR="00C7434D" w:rsidRPr="0051484F">
        <w:rPr>
          <w:rFonts w:ascii="Century Gothic" w:eastAsia="Times New Roman" w:hAnsi="Century Gothic" w:cs="Times New Roman"/>
          <w:color w:val="000000"/>
        </w:rPr>
        <w:t>to work with you toward equitable access and parity of coverage for all ACIP-recommended vaccines for the Medicare population</w:t>
      </w:r>
      <w:r w:rsidR="00637030" w:rsidRPr="0051484F">
        <w:rPr>
          <w:rFonts w:ascii="Century Gothic" w:eastAsia="Times New Roman" w:hAnsi="Century Gothic" w:cs="Times New Roman"/>
          <w:color w:val="000000"/>
        </w:rPr>
        <w:t xml:space="preserve">.  </w:t>
      </w:r>
    </w:p>
    <w:p w14:paraId="054E1C90" w14:textId="77777777" w:rsidR="00637030" w:rsidRPr="0051484F" w:rsidRDefault="00637030" w:rsidP="00637030">
      <w:pPr>
        <w:spacing w:after="0" w:line="264" w:lineRule="auto"/>
        <w:rPr>
          <w:rFonts w:ascii="Century Gothic" w:eastAsia="Times New Roman" w:hAnsi="Century Gothic" w:cs="Times New Roman"/>
          <w:color w:val="000000"/>
        </w:rPr>
      </w:pPr>
    </w:p>
    <w:p w14:paraId="3B3C6D42" w14:textId="77777777" w:rsidR="00E86B5D" w:rsidRPr="0051484F" w:rsidRDefault="00637030" w:rsidP="00637030">
      <w:pPr>
        <w:spacing w:after="0" w:line="276" w:lineRule="auto"/>
        <w:rPr>
          <w:rFonts w:ascii="Century Gothic" w:eastAsia="Times New Roman" w:hAnsi="Century Gothic" w:cs="Times New Roman"/>
          <w:color w:val="000000"/>
        </w:rPr>
      </w:pPr>
      <w:r w:rsidRPr="0051484F">
        <w:rPr>
          <w:rFonts w:ascii="Century Gothic" w:eastAsia="Times New Roman" w:hAnsi="Century Gothic" w:cs="Times New Roman"/>
          <w:color w:val="000000"/>
        </w:rPr>
        <w:t>Sincerely,</w:t>
      </w:r>
      <w:r w:rsidR="00E86B5D" w:rsidRPr="0051484F">
        <w:rPr>
          <w:rFonts w:ascii="Century Gothic" w:eastAsia="Times New Roman" w:hAnsi="Century Gothic" w:cs="Times New Roman"/>
          <w:color w:val="000000"/>
        </w:rPr>
        <w:t xml:space="preserve"> </w:t>
      </w:r>
    </w:p>
    <w:tbl>
      <w:tblPr>
        <w:tblW w:w="8240" w:type="dxa"/>
        <w:tblLook w:val="04A0" w:firstRow="1" w:lastRow="0" w:firstColumn="1" w:lastColumn="0" w:noHBand="0" w:noVBand="1"/>
      </w:tblPr>
      <w:tblGrid>
        <w:gridCol w:w="8240"/>
      </w:tblGrid>
      <w:tr w:rsidR="00EA7B59" w:rsidRPr="0051484F" w14:paraId="07F3F306" w14:textId="77777777" w:rsidTr="00F928B2">
        <w:trPr>
          <w:trHeight w:val="2250"/>
        </w:trPr>
        <w:tc>
          <w:tcPr>
            <w:tcW w:w="8240" w:type="dxa"/>
            <w:tcBorders>
              <w:top w:val="nil"/>
              <w:left w:val="nil"/>
              <w:bottom w:val="nil"/>
              <w:right w:val="nil"/>
            </w:tcBorders>
            <w:shd w:val="clear" w:color="auto" w:fill="auto"/>
            <w:noWrap/>
            <w:vAlign w:val="bottom"/>
          </w:tcPr>
          <w:p w14:paraId="229EBFBA" w14:textId="77777777" w:rsidR="00113E55" w:rsidRPr="00113E55" w:rsidRDefault="00113E55" w:rsidP="00113E55">
            <w:pPr>
              <w:spacing w:after="0" w:line="240" w:lineRule="auto"/>
              <w:rPr>
                <w:rFonts w:ascii="Century Gothic" w:eastAsia="Times New Roman" w:hAnsi="Century Gothic" w:cs="Calibri"/>
              </w:rPr>
            </w:pPr>
            <w:bookmarkStart w:id="1" w:name="_Hlk11411157"/>
            <w:r w:rsidRPr="00113E55">
              <w:rPr>
                <w:rFonts w:ascii="Century Gothic" w:eastAsia="Times New Roman" w:hAnsi="Century Gothic" w:cs="Calibri"/>
              </w:rPr>
              <w:t>American Association of Occupational Health Nurses (AAOHN)</w:t>
            </w:r>
          </w:p>
          <w:p w14:paraId="3F2E04CF" w14:textId="77777777" w:rsidR="00113E55" w:rsidRP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 xml:space="preserve">Alliance for Aging Research </w:t>
            </w:r>
          </w:p>
          <w:p w14:paraId="637B428D" w14:textId="77777777" w:rsidR="00113E55" w:rsidRP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American College of Preventive Medicine (ACPM)</w:t>
            </w:r>
          </w:p>
          <w:p w14:paraId="5B43B9D3" w14:textId="6135FC0D" w:rsidR="00B25A55" w:rsidRDefault="00B25A55" w:rsidP="00113E55">
            <w:pPr>
              <w:spacing w:after="0" w:line="240" w:lineRule="auto"/>
              <w:rPr>
                <w:rFonts w:ascii="Century Gothic" w:eastAsia="Times New Roman" w:hAnsi="Century Gothic" w:cs="Calibri"/>
              </w:rPr>
            </w:pPr>
            <w:r w:rsidRPr="00B25A55">
              <w:rPr>
                <w:rFonts w:ascii="Century Gothic" w:eastAsia="Times New Roman" w:hAnsi="Century Gothic" w:cs="Calibri"/>
              </w:rPr>
              <w:t>American Immunization Registry Association (AIRA)</w:t>
            </w:r>
          </w:p>
          <w:p w14:paraId="0AB514C3" w14:textId="76594F4A" w:rsid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American Pharmacists Association (</w:t>
            </w:r>
            <w:proofErr w:type="spellStart"/>
            <w:r w:rsidRPr="00113E55">
              <w:rPr>
                <w:rFonts w:ascii="Century Gothic" w:eastAsia="Times New Roman" w:hAnsi="Century Gothic" w:cs="Calibri"/>
              </w:rPr>
              <w:t>APhA</w:t>
            </w:r>
            <w:proofErr w:type="spellEnd"/>
            <w:r w:rsidRPr="00113E55">
              <w:rPr>
                <w:rFonts w:ascii="Century Gothic" w:eastAsia="Times New Roman" w:hAnsi="Century Gothic" w:cs="Calibri"/>
              </w:rPr>
              <w:t>)</w:t>
            </w:r>
          </w:p>
          <w:p w14:paraId="4D55FA5D" w14:textId="5E118167" w:rsidR="00C50FE5" w:rsidRPr="00113E55" w:rsidRDefault="00C50FE5" w:rsidP="00113E55">
            <w:pPr>
              <w:spacing w:after="0" w:line="240" w:lineRule="auto"/>
              <w:rPr>
                <w:rFonts w:ascii="Century Gothic" w:eastAsia="Times New Roman" w:hAnsi="Century Gothic" w:cs="Calibri"/>
              </w:rPr>
            </w:pPr>
            <w:r>
              <w:rPr>
                <w:rFonts w:ascii="Century Gothic" w:eastAsia="Times New Roman" w:hAnsi="Century Gothic" w:cs="Calibri"/>
              </w:rPr>
              <w:t xml:space="preserve">American Public Health Association (APHA) </w:t>
            </w:r>
          </w:p>
          <w:p w14:paraId="75CE2661" w14:textId="0DFEFE7C" w:rsidR="00415082" w:rsidRDefault="00415082" w:rsidP="00113E55">
            <w:pPr>
              <w:spacing w:after="0" w:line="240" w:lineRule="auto"/>
              <w:rPr>
                <w:rFonts w:ascii="Century Gothic" w:eastAsia="Times New Roman" w:hAnsi="Century Gothic" w:cs="Calibri"/>
              </w:rPr>
            </w:pPr>
            <w:r w:rsidRPr="00415082">
              <w:rPr>
                <w:rFonts w:ascii="Century Gothic" w:eastAsia="Times New Roman" w:hAnsi="Century Gothic" w:cs="Calibri"/>
              </w:rPr>
              <w:t>Association of Asian Pacific Community Health Organizations</w:t>
            </w:r>
            <w:r>
              <w:rPr>
                <w:rFonts w:ascii="Century Gothic" w:eastAsia="Times New Roman" w:hAnsi="Century Gothic" w:cs="Calibri"/>
              </w:rPr>
              <w:t xml:space="preserve"> (AAPCHO)</w:t>
            </w:r>
          </w:p>
          <w:p w14:paraId="30A6E733" w14:textId="21E404CB" w:rsidR="00C50FE5" w:rsidRDefault="00C50FE5" w:rsidP="00113E55">
            <w:pPr>
              <w:spacing w:after="0" w:line="240" w:lineRule="auto"/>
              <w:rPr>
                <w:rFonts w:ascii="Century Gothic" w:eastAsia="Times New Roman" w:hAnsi="Century Gothic" w:cs="Calibri"/>
              </w:rPr>
            </w:pPr>
            <w:r>
              <w:rPr>
                <w:rFonts w:ascii="Century Gothic" w:eastAsia="Times New Roman" w:hAnsi="Century Gothic" w:cs="Calibri"/>
              </w:rPr>
              <w:t>Association of Immunization Managers</w:t>
            </w:r>
            <w:r w:rsidR="00D10305">
              <w:rPr>
                <w:rFonts w:ascii="Century Gothic" w:eastAsia="Times New Roman" w:hAnsi="Century Gothic" w:cs="Calibri"/>
              </w:rPr>
              <w:t xml:space="preserve"> (AIM)</w:t>
            </w:r>
          </w:p>
          <w:p w14:paraId="6DE5B24A" w14:textId="77777777" w:rsidR="00591F9C" w:rsidRDefault="00591F9C" w:rsidP="00113E55">
            <w:pPr>
              <w:spacing w:after="0" w:line="240" w:lineRule="auto"/>
              <w:rPr>
                <w:rFonts w:ascii="Century Gothic" w:eastAsia="Times New Roman" w:hAnsi="Century Gothic" w:cs="Calibri"/>
              </w:rPr>
            </w:pPr>
            <w:r w:rsidRPr="00591F9C">
              <w:rPr>
                <w:rFonts w:ascii="Century Gothic" w:eastAsia="Times New Roman" w:hAnsi="Century Gothic" w:cs="Calibri"/>
              </w:rPr>
              <w:t>Association for Professionals in Infection Control and Epidemiology (APIC)</w:t>
            </w:r>
          </w:p>
          <w:p w14:paraId="707E74A7" w14:textId="5BF1FF8D" w:rsidR="00591F9C" w:rsidRDefault="00591F9C" w:rsidP="00113E55">
            <w:pPr>
              <w:spacing w:after="0" w:line="240" w:lineRule="auto"/>
              <w:rPr>
                <w:rFonts w:ascii="Century Gothic" w:eastAsia="Times New Roman" w:hAnsi="Century Gothic" w:cs="Calibri"/>
              </w:rPr>
            </w:pPr>
            <w:r w:rsidRPr="00591F9C">
              <w:rPr>
                <w:rFonts w:ascii="Century Gothic" w:eastAsia="Times New Roman" w:hAnsi="Century Gothic" w:cs="Calibri"/>
              </w:rPr>
              <w:t>Asian &amp; Pacific Islander American Health Forum (APIAHF)</w:t>
            </w:r>
          </w:p>
          <w:p w14:paraId="5FEA21C7" w14:textId="0195F256" w:rsidR="00113E55" w:rsidRP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Biotechnology Innovation Organization (BIO)</w:t>
            </w:r>
          </w:p>
          <w:p w14:paraId="341EBE30" w14:textId="77777777" w:rsidR="00113E55" w:rsidRPr="00113E55" w:rsidRDefault="00113E55" w:rsidP="00113E55">
            <w:pPr>
              <w:spacing w:after="0" w:line="240" w:lineRule="auto"/>
              <w:rPr>
                <w:rFonts w:ascii="Century Gothic" w:eastAsia="Times New Roman" w:hAnsi="Century Gothic" w:cs="Calibri"/>
              </w:rPr>
            </w:pPr>
            <w:proofErr w:type="spellStart"/>
            <w:r w:rsidRPr="00113E55">
              <w:rPr>
                <w:rFonts w:ascii="Century Gothic" w:eastAsia="Times New Roman" w:hAnsi="Century Gothic" w:cs="Calibri"/>
              </w:rPr>
              <w:t>Dynavax</w:t>
            </w:r>
            <w:proofErr w:type="spellEnd"/>
          </w:p>
          <w:p w14:paraId="1A730AAF" w14:textId="4141206C" w:rsidR="00113E55" w:rsidRPr="00113E55" w:rsidRDefault="00113E55" w:rsidP="00113E55">
            <w:pPr>
              <w:spacing w:after="0" w:line="240" w:lineRule="auto"/>
              <w:rPr>
                <w:rFonts w:ascii="Century Gothic" w:eastAsia="Times New Roman" w:hAnsi="Century Gothic" w:cs="Calibri"/>
              </w:rPr>
            </w:pPr>
            <w:r>
              <w:rPr>
                <w:rFonts w:ascii="Century Gothic" w:eastAsia="Times New Roman" w:hAnsi="Century Gothic" w:cs="Calibri"/>
              </w:rPr>
              <w:t xml:space="preserve">Families Fighting Flu </w:t>
            </w:r>
          </w:p>
          <w:p w14:paraId="4A6DADD8" w14:textId="77777777" w:rsidR="00113E55" w:rsidRP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GSK</w:t>
            </w:r>
          </w:p>
          <w:p w14:paraId="6CB3223D" w14:textId="77777777" w:rsidR="00113E55" w:rsidRP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 xml:space="preserve">Hep B United </w:t>
            </w:r>
          </w:p>
          <w:p w14:paraId="2F357825" w14:textId="77777777" w:rsidR="00113E55" w:rsidRP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 xml:space="preserve">Hepatitis B Foundation </w:t>
            </w:r>
          </w:p>
          <w:p w14:paraId="314EF231" w14:textId="77777777" w:rsidR="00113E55" w:rsidRP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Immunization Action Coalition (IAC)</w:t>
            </w:r>
          </w:p>
          <w:p w14:paraId="3CAE17F8" w14:textId="77777777" w:rsidR="00113E55" w:rsidRP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Infectious Diseases Society of America (IDSA)</w:t>
            </w:r>
          </w:p>
          <w:p w14:paraId="1CAABC22" w14:textId="64D0244A" w:rsidR="00113E55" w:rsidRDefault="00113E55" w:rsidP="00113E55">
            <w:pPr>
              <w:spacing w:after="0" w:line="240" w:lineRule="auto"/>
              <w:rPr>
                <w:rFonts w:ascii="Century Gothic" w:eastAsia="Times New Roman" w:hAnsi="Century Gothic" w:cs="Calibri"/>
              </w:rPr>
            </w:pPr>
            <w:r>
              <w:rPr>
                <w:rFonts w:ascii="Century Gothic" w:eastAsia="Times New Roman" w:hAnsi="Century Gothic" w:cs="Calibri"/>
              </w:rPr>
              <w:t>Medicago</w:t>
            </w:r>
          </w:p>
          <w:p w14:paraId="7DDA5A95" w14:textId="5D001847" w:rsidR="00113E55" w:rsidRP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lastRenderedPageBreak/>
              <w:t>Merck</w:t>
            </w:r>
          </w:p>
          <w:p w14:paraId="3CD20FFF" w14:textId="77777777" w:rsidR="00113E55" w:rsidRP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National Association of Chain Drug Stores (NACDS)</w:t>
            </w:r>
          </w:p>
          <w:p w14:paraId="61BC8BDE" w14:textId="6B8AF097" w:rsid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National Association of County and City Health Officials (NACCHO)</w:t>
            </w:r>
          </w:p>
          <w:p w14:paraId="66ACB14F" w14:textId="77777777" w:rsidR="00C50FE5" w:rsidRPr="00C50FE5" w:rsidRDefault="00C50FE5" w:rsidP="00C50FE5">
            <w:pPr>
              <w:spacing w:after="0" w:line="240" w:lineRule="auto"/>
              <w:rPr>
                <w:rFonts w:ascii="Century Gothic" w:eastAsia="Times New Roman" w:hAnsi="Century Gothic" w:cs="Calibri"/>
              </w:rPr>
            </w:pPr>
            <w:r w:rsidRPr="00C50FE5">
              <w:rPr>
                <w:rFonts w:ascii="Century Gothic" w:eastAsia="Times New Roman" w:hAnsi="Century Gothic" w:cs="Calibri"/>
              </w:rPr>
              <w:t>National Association of Nutrition and Aging Services Programs (NANASP)</w:t>
            </w:r>
          </w:p>
          <w:p w14:paraId="4C3CBE7A" w14:textId="0A1B0CC1" w:rsidR="00C50FE5" w:rsidRPr="00113E55" w:rsidRDefault="00C50FE5" w:rsidP="00C50FE5">
            <w:pPr>
              <w:spacing w:after="0" w:line="240" w:lineRule="auto"/>
              <w:rPr>
                <w:rFonts w:ascii="Century Gothic" w:eastAsia="Times New Roman" w:hAnsi="Century Gothic" w:cs="Calibri"/>
              </w:rPr>
            </w:pPr>
            <w:r w:rsidRPr="00C50FE5">
              <w:rPr>
                <w:rFonts w:ascii="Century Gothic" w:eastAsia="Times New Roman" w:hAnsi="Century Gothic" w:cs="Calibri"/>
              </w:rPr>
              <w:t>National Consumers League</w:t>
            </w:r>
          </w:p>
          <w:p w14:paraId="194EA283" w14:textId="77777777" w:rsidR="00113E55" w:rsidRP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National Council of Asian Pacific Islander Physicians (NCAPIP)</w:t>
            </w:r>
          </w:p>
          <w:p w14:paraId="78BD2D6A" w14:textId="32DB889C" w:rsidR="00113E55" w:rsidRP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National Foundation for Infectious Diseases</w:t>
            </w:r>
            <w:r>
              <w:rPr>
                <w:rFonts w:ascii="Century Gothic" w:eastAsia="Times New Roman" w:hAnsi="Century Gothic" w:cs="Calibri"/>
              </w:rPr>
              <w:t xml:space="preserve"> (NFID)</w:t>
            </w:r>
          </w:p>
          <w:p w14:paraId="0C8433B2" w14:textId="77777777" w:rsidR="00113E55" w:rsidRP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National Hispanic Medical Association (NHMA)</w:t>
            </w:r>
          </w:p>
          <w:p w14:paraId="46BFF4A0" w14:textId="77777777" w:rsidR="00113E55" w:rsidRP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National Viral Hepatitis Roundtable (NVHR)</w:t>
            </w:r>
          </w:p>
          <w:p w14:paraId="4D188A79" w14:textId="77777777" w:rsidR="00113E55" w:rsidRPr="00113E55" w:rsidRDefault="00113E55" w:rsidP="00113E55">
            <w:pPr>
              <w:spacing w:after="0" w:line="240" w:lineRule="auto"/>
              <w:rPr>
                <w:rFonts w:ascii="Century Gothic" w:eastAsia="Times New Roman" w:hAnsi="Century Gothic" w:cs="Calibri"/>
              </w:rPr>
            </w:pPr>
            <w:proofErr w:type="spellStart"/>
            <w:r w:rsidRPr="00113E55">
              <w:rPr>
                <w:rFonts w:ascii="Century Gothic" w:eastAsia="Times New Roman" w:hAnsi="Century Gothic" w:cs="Calibri"/>
              </w:rPr>
              <w:t>Novavax</w:t>
            </w:r>
            <w:proofErr w:type="spellEnd"/>
          </w:p>
          <w:p w14:paraId="41851076" w14:textId="77777777" w:rsidR="00113E55" w:rsidRP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Pfizer</w:t>
            </w:r>
          </w:p>
          <w:p w14:paraId="28D543CE" w14:textId="77777777" w:rsidR="00113E55" w:rsidRP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Sanofi</w:t>
            </w:r>
          </w:p>
          <w:p w14:paraId="1896ED83" w14:textId="77777777" w:rsidR="00113E55" w:rsidRP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 xml:space="preserve">Scientific Technologies Corporation (STC) </w:t>
            </w:r>
          </w:p>
          <w:p w14:paraId="71226C7D" w14:textId="77777777" w:rsidR="00113E55" w:rsidRP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Takeda</w:t>
            </w:r>
          </w:p>
          <w:p w14:paraId="50A8F690" w14:textId="77777777" w:rsidR="00113E55" w:rsidRPr="00113E55"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The Gerontological Society of America (GSA)</w:t>
            </w:r>
          </w:p>
          <w:p w14:paraId="746F12AD" w14:textId="77777777" w:rsidR="00EA7B59" w:rsidRDefault="00113E55" w:rsidP="00113E55">
            <w:pPr>
              <w:spacing w:after="0" w:line="240" w:lineRule="auto"/>
              <w:rPr>
                <w:rFonts w:ascii="Century Gothic" w:eastAsia="Times New Roman" w:hAnsi="Century Gothic" w:cs="Calibri"/>
              </w:rPr>
            </w:pPr>
            <w:r w:rsidRPr="00113E55">
              <w:rPr>
                <w:rFonts w:ascii="Century Gothic" w:eastAsia="Times New Roman" w:hAnsi="Century Gothic" w:cs="Calibri"/>
              </w:rPr>
              <w:t>Trust for America's Health</w:t>
            </w:r>
          </w:p>
          <w:p w14:paraId="31438FE4" w14:textId="19023916" w:rsidR="00113E55" w:rsidRPr="0051484F" w:rsidRDefault="00113E55" w:rsidP="00113E55">
            <w:pPr>
              <w:spacing w:after="0" w:line="240" w:lineRule="auto"/>
              <w:rPr>
                <w:rFonts w:ascii="Century Gothic" w:eastAsia="Times New Roman" w:hAnsi="Century Gothic" w:cs="Calibri"/>
                <w:highlight w:val="yellow"/>
              </w:rPr>
            </w:pPr>
            <w:r w:rsidRPr="00113E55">
              <w:rPr>
                <w:rFonts w:ascii="Century Gothic" w:eastAsia="Times New Roman" w:hAnsi="Century Gothic" w:cs="Calibri"/>
              </w:rPr>
              <w:t>Vaccinate Your Family</w:t>
            </w:r>
            <w:bookmarkEnd w:id="1"/>
          </w:p>
        </w:tc>
      </w:tr>
      <w:tr w:rsidR="00EA7B59" w:rsidRPr="0051484F" w14:paraId="1CC29BEB" w14:textId="77777777" w:rsidTr="00113E55">
        <w:trPr>
          <w:trHeight w:val="345"/>
        </w:trPr>
        <w:tc>
          <w:tcPr>
            <w:tcW w:w="8240" w:type="dxa"/>
            <w:tcBorders>
              <w:top w:val="nil"/>
              <w:left w:val="nil"/>
              <w:bottom w:val="nil"/>
              <w:right w:val="nil"/>
            </w:tcBorders>
            <w:shd w:val="clear" w:color="auto" w:fill="auto"/>
            <w:noWrap/>
            <w:vAlign w:val="bottom"/>
          </w:tcPr>
          <w:p w14:paraId="34BEF4D0" w14:textId="0ADE88CA" w:rsidR="00EA7B59" w:rsidRPr="0051484F" w:rsidRDefault="00EA7B59" w:rsidP="00EA7B59">
            <w:pPr>
              <w:spacing w:after="0" w:line="240" w:lineRule="auto"/>
              <w:rPr>
                <w:rFonts w:ascii="Century Gothic" w:eastAsia="Times New Roman" w:hAnsi="Century Gothic" w:cs="Calibri"/>
                <w:highlight w:val="yellow"/>
              </w:rPr>
            </w:pPr>
          </w:p>
        </w:tc>
      </w:tr>
      <w:tr w:rsidR="00EA7B59" w:rsidRPr="0051484F" w14:paraId="1C8F9E31" w14:textId="77777777" w:rsidTr="00113E55">
        <w:trPr>
          <w:trHeight w:val="345"/>
        </w:trPr>
        <w:tc>
          <w:tcPr>
            <w:tcW w:w="8240" w:type="dxa"/>
            <w:tcBorders>
              <w:top w:val="nil"/>
              <w:left w:val="nil"/>
              <w:bottom w:val="nil"/>
              <w:right w:val="nil"/>
            </w:tcBorders>
            <w:shd w:val="clear" w:color="auto" w:fill="auto"/>
            <w:noWrap/>
            <w:vAlign w:val="bottom"/>
          </w:tcPr>
          <w:p w14:paraId="7F13256C" w14:textId="3E60E763" w:rsidR="009E14D5" w:rsidRPr="0051484F" w:rsidRDefault="009E14D5" w:rsidP="00EA7B59">
            <w:pPr>
              <w:spacing w:after="0" w:line="240" w:lineRule="auto"/>
              <w:rPr>
                <w:rFonts w:ascii="Century Gothic" w:eastAsia="Times New Roman" w:hAnsi="Century Gothic" w:cs="Calibri"/>
                <w:highlight w:val="yellow"/>
              </w:rPr>
            </w:pPr>
          </w:p>
        </w:tc>
      </w:tr>
      <w:tr w:rsidR="00EA7B59" w:rsidRPr="0051484F" w14:paraId="435EABF6" w14:textId="77777777" w:rsidTr="00113E55">
        <w:trPr>
          <w:trHeight w:val="345"/>
        </w:trPr>
        <w:tc>
          <w:tcPr>
            <w:tcW w:w="8240" w:type="dxa"/>
            <w:tcBorders>
              <w:top w:val="nil"/>
              <w:left w:val="nil"/>
              <w:bottom w:val="nil"/>
              <w:right w:val="nil"/>
            </w:tcBorders>
            <w:shd w:val="clear" w:color="auto" w:fill="auto"/>
            <w:noWrap/>
            <w:vAlign w:val="bottom"/>
          </w:tcPr>
          <w:p w14:paraId="4CB47E50" w14:textId="2699865A" w:rsidR="00EA7B59" w:rsidRPr="0051484F" w:rsidRDefault="00EA7B59" w:rsidP="00EA7B59">
            <w:pPr>
              <w:spacing w:after="0" w:line="240" w:lineRule="auto"/>
              <w:rPr>
                <w:rFonts w:ascii="Century Gothic" w:eastAsia="Times New Roman" w:hAnsi="Century Gothic" w:cs="Calibri"/>
                <w:highlight w:val="yellow"/>
              </w:rPr>
            </w:pPr>
          </w:p>
        </w:tc>
      </w:tr>
      <w:tr w:rsidR="00EA7B59" w:rsidRPr="0051484F" w14:paraId="3D966D45" w14:textId="77777777" w:rsidTr="00113E55">
        <w:trPr>
          <w:trHeight w:val="345"/>
        </w:trPr>
        <w:tc>
          <w:tcPr>
            <w:tcW w:w="8240" w:type="dxa"/>
            <w:tcBorders>
              <w:top w:val="nil"/>
              <w:left w:val="nil"/>
              <w:bottom w:val="nil"/>
              <w:right w:val="nil"/>
            </w:tcBorders>
            <w:shd w:val="clear" w:color="auto" w:fill="auto"/>
            <w:noWrap/>
            <w:vAlign w:val="bottom"/>
          </w:tcPr>
          <w:p w14:paraId="21F7E199" w14:textId="5386AA44" w:rsidR="0019326D" w:rsidRPr="0051484F" w:rsidRDefault="0019326D" w:rsidP="00EA7B59">
            <w:pPr>
              <w:spacing w:after="0" w:line="240" w:lineRule="auto"/>
              <w:rPr>
                <w:rFonts w:ascii="Century Gothic" w:eastAsia="Times New Roman" w:hAnsi="Century Gothic" w:cs="Calibri"/>
                <w:highlight w:val="yellow"/>
              </w:rPr>
            </w:pPr>
          </w:p>
        </w:tc>
      </w:tr>
      <w:tr w:rsidR="00EA7B59" w:rsidRPr="0051484F" w14:paraId="1E5C7175" w14:textId="77777777" w:rsidTr="00EA7B59">
        <w:trPr>
          <w:trHeight w:val="345"/>
        </w:trPr>
        <w:tc>
          <w:tcPr>
            <w:tcW w:w="8240" w:type="dxa"/>
            <w:tcBorders>
              <w:top w:val="nil"/>
              <w:left w:val="nil"/>
              <w:bottom w:val="nil"/>
              <w:right w:val="nil"/>
            </w:tcBorders>
            <w:shd w:val="clear" w:color="auto" w:fill="auto"/>
            <w:noWrap/>
            <w:vAlign w:val="center"/>
            <w:hideMark/>
          </w:tcPr>
          <w:p w14:paraId="4EEABCDE" w14:textId="1B46C555" w:rsidR="00EA7B59" w:rsidRPr="0051484F" w:rsidRDefault="00EA7B59" w:rsidP="00EA7B59">
            <w:pPr>
              <w:spacing w:after="0" w:line="240" w:lineRule="auto"/>
              <w:rPr>
                <w:rFonts w:ascii="Century Gothic" w:eastAsia="Times New Roman" w:hAnsi="Century Gothic" w:cs="Calibri"/>
                <w:highlight w:val="yellow"/>
              </w:rPr>
            </w:pPr>
          </w:p>
        </w:tc>
      </w:tr>
      <w:tr w:rsidR="00EA7B59" w:rsidRPr="0051484F" w14:paraId="5AD9E9D9" w14:textId="77777777" w:rsidTr="00EA7B59">
        <w:trPr>
          <w:trHeight w:val="345"/>
        </w:trPr>
        <w:tc>
          <w:tcPr>
            <w:tcW w:w="8240" w:type="dxa"/>
            <w:tcBorders>
              <w:top w:val="nil"/>
              <w:left w:val="nil"/>
              <w:bottom w:val="nil"/>
              <w:right w:val="nil"/>
            </w:tcBorders>
            <w:shd w:val="clear" w:color="auto" w:fill="auto"/>
            <w:noWrap/>
            <w:vAlign w:val="bottom"/>
            <w:hideMark/>
          </w:tcPr>
          <w:p w14:paraId="5B79630E" w14:textId="13C51F7E" w:rsidR="00EA7B59" w:rsidRPr="0051484F" w:rsidRDefault="00EA7B59" w:rsidP="00EA7B59">
            <w:pPr>
              <w:spacing w:after="0" w:line="240" w:lineRule="auto"/>
              <w:rPr>
                <w:rFonts w:ascii="Century Gothic" w:eastAsia="Times New Roman" w:hAnsi="Century Gothic" w:cs="Calibri"/>
              </w:rPr>
            </w:pPr>
          </w:p>
        </w:tc>
      </w:tr>
    </w:tbl>
    <w:p w14:paraId="74ED1AE5" w14:textId="0F717F98" w:rsidR="00B147D8" w:rsidRPr="0051484F" w:rsidRDefault="007B338C" w:rsidP="0019326D">
      <w:pPr>
        <w:rPr>
          <w:rFonts w:ascii="Century Gothic" w:hAnsi="Century Gothic" w:cs="Times New Roman"/>
        </w:rPr>
      </w:pPr>
    </w:p>
    <w:sectPr w:rsidR="00B147D8" w:rsidRPr="0051484F" w:rsidSect="00E86B5D">
      <w:type w:val="continuous"/>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C1146" w14:textId="77777777" w:rsidR="00C410D4" w:rsidRDefault="00C410D4" w:rsidP="00637030">
      <w:pPr>
        <w:spacing w:after="0" w:line="240" w:lineRule="auto"/>
      </w:pPr>
      <w:r>
        <w:separator/>
      </w:r>
    </w:p>
  </w:endnote>
  <w:endnote w:type="continuationSeparator" w:id="0">
    <w:p w14:paraId="73B46105" w14:textId="77777777" w:rsidR="00C410D4" w:rsidRDefault="00C410D4" w:rsidP="0063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0BE5" w14:textId="77777777" w:rsidR="00BF236F" w:rsidRDefault="00BF2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A80F" w14:textId="407B7734" w:rsidR="00A479AB" w:rsidRDefault="009B537F">
    <w:pPr>
      <w:tabs>
        <w:tab w:val="center" w:pos="4680"/>
        <w:tab w:val="right" w:pos="9360"/>
      </w:tabs>
      <w:spacing w:line="240" w:lineRule="auto"/>
      <w:jc w:val="right"/>
    </w:pPr>
    <w:r>
      <w:fldChar w:fldCharType="begin"/>
    </w:r>
    <w:r>
      <w:instrText>PAGE</w:instrText>
    </w:r>
    <w:r>
      <w:fldChar w:fldCharType="separate"/>
    </w:r>
    <w:r w:rsidR="00931F2F">
      <w:rPr>
        <w:noProof/>
      </w:rPr>
      <w:t>3</w:t>
    </w:r>
    <w:r>
      <w:fldChar w:fldCharType="end"/>
    </w:r>
  </w:p>
  <w:p w14:paraId="15051381" w14:textId="77777777" w:rsidR="00A479AB" w:rsidRDefault="00637030">
    <w:pPr>
      <w:pStyle w:val="Heading5"/>
      <w:spacing w:after="360"/>
      <w:ind w:right="360"/>
    </w:pPr>
    <w:r>
      <w:rPr>
        <w:noProof/>
      </w:rPr>
      <w:drawing>
        <wp:anchor distT="0" distB="0" distL="114300" distR="114300" simplePos="0" relativeHeight="251656192" behindDoc="0" locked="0" layoutInCell="0" allowOverlap="1" wp14:anchorId="0F6BE524" wp14:editId="3942485B">
          <wp:simplePos x="0" y="0"/>
          <wp:positionH relativeFrom="margin">
            <wp:posOffset>17145</wp:posOffset>
          </wp:positionH>
          <wp:positionV relativeFrom="paragraph">
            <wp:posOffset>-134620</wp:posOffset>
          </wp:positionV>
          <wp:extent cx="3157220" cy="17399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220" cy="1739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5616" w14:textId="168A0251" w:rsidR="00A479AB" w:rsidRDefault="009B537F">
    <w:pPr>
      <w:tabs>
        <w:tab w:val="center" w:pos="4680"/>
        <w:tab w:val="right" w:pos="9360"/>
      </w:tabs>
      <w:spacing w:line="240" w:lineRule="auto"/>
      <w:jc w:val="right"/>
    </w:pPr>
    <w:r>
      <w:fldChar w:fldCharType="begin"/>
    </w:r>
    <w:r>
      <w:instrText>PAGE</w:instrText>
    </w:r>
    <w:r>
      <w:fldChar w:fldCharType="separate"/>
    </w:r>
    <w:r w:rsidR="00931F2F">
      <w:rPr>
        <w:noProof/>
      </w:rPr>
      <w:t>1</w:t>
    </w:r>
    <w:r>
      <w:fldChar w:fldCharType="end"/>
    </w:r>
  </w:p>
  <w:p w14:paraId="66A0719E" w14:textId="77777777" w:rsidR="00A479AB" w:rsidRDefault="009B537F">
    <w:pPr>
      <w:pStyle w:val="Heading5"/>
    </w:pPr>
    <w:r>
      <w:rPr>
        <w:sz w:val="18"/>
        <w:szCs w:val="18"/>
      </w:rPr>
      <w:t>1640 Rhode Island Avenue, Suite 700, Washington, DC 20036</w:t>
    </w:r>
  </w:p>
  <w:p w14:paraId="34339C41" w14:textId="77777777" w:rsidR="00A479AB" w:rsidRDefault="009B537F">
    <w:pPr>
      <w:pStyle w:val="Heading5"/>
    </w:pPr>
    <w:r>
      <w:rPr>
        <w:sz w:val="18"/>
        <w:szCs w:val="18"/>
      </w:rPr>
      <w:t>Tel: 202.540.170 • info@adultvaccinesnow.org</w:t>
    </w:r>
    <w:r w:rsidR="00637030">
      <w:rPr>
        <w:noProof/>
      </w:rPr>
      <w:drawing>
        <wp:anchor distT="0" distB="0" distL="114300" distR="114300" simplePos="0" relativeHeight="251658240" behindDoc="0" locked="0" layoutInCell="0" allowOverlap="1" wp14:anchorId="4C8994A4" wp14:editId="55183949">
          <wp:simplePos x="0" y="0"/>
          <wp:positionH relativeFrom="margin">
            <wp:posOffset>2877820</wp:posOffset>
          </wp:positionH>
          <wp:positionV relativeFrom="paragraph">
            <wp:posOffset>1062355</wp:posOffset>
          </wp:positionV>
          <wp:extent cx="91440" cy="86360"/>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86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E4BFF" w14:textId="77777777" w:rsidR="00A479AB" w:rsidRDefault="007B338C">
    <w:pPr>
      <w:tabs>
        <w:tab w:val="center" w:pos="4680"/>
        <w:tab w:val="right" w:pos="9360"/>
      </w:tabs>
      <w:spacing w:after="360" w:line="24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78696" w14:textId="77777777" w:rsidR="00C410D4" w:rsidRDefault="00C410D4" w:rsidP="00637030">
      <w:pPr>
        <w:spacing w:after="0" w:line="240" w:lineRule="auto"/>
      </w:pPr>
      <w:r>
        <w:separator/>
      </w:r>
    </w:p>
  </w:footnote>
  <w:footnote w:type="continuationSeparator" w:id="0">
    <w:p w14:paraId="2256F17A" w14:textId="77777777" w:rsidR="00C410D4" w:rsidRDefault="00C410D4" w:rsidP="00637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B55E" w14:textId="77777777" w:rsidR="00BF236F" w:rsidRDefault="00BF2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B4F3" w14:textId="20858593" w:rsidR="00BF236F" w:rsidRDefault="00BF2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93618" w14:textId="77777777" w:rsidR="00A479AB" w:rsidRDefault="00637030">
    <w:pPr>
      <w:tabs>
        <w:tab w:val="center" w:pos="4680"/>
        <w:tab w:val="right" w:pos="9360"/>
      </w:tabs>
      <w:spacing w:before="720" w:line="240" w:lineRule="auto"/>
    </w:pPr>
    <w:r>
      <w:rPr>
        <w:noProof/>
      </w:rPr>
      <w:drawing>
        <wp:anchor distT="0" distB="0" distL="114300" distR="114300" simplePos="0" relativeHeight="251657216" behindDoc="0" locked="0" layoutInCell="0" allowOverlap="1" wp14:anchorId="69BD07B9" wp14:editId="13DE26F7">
          <wp:simplePos x="0" y="0"/>
          <wp:positionH relativeFrom="margin">
            <wp:posOffset>0</wp:posOffset>
          </wp:positionH>
          <wp:positionV relativeFrom="paragraph">
            <wp:posOffset>112395</wp:posOffset>
          </wp:positionV>
          <wp:extent cx="1828800" cy="795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95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030"/>
    <w:rsid w:val="000177AE"/>
    <w:rsid w:val="00025820"/>
    <w:rsid w:val="000D3D7F"/>
    <w:rsid w:val="00113E55"/>
    <w:rsid w:val="00133260"/>
    <w:rsid w:val="00175AC8"/>
    <w:rsid w:val="0019326D"/>
    <w:rsid w:val="001E5CC5"/>
    <w:rsid w:val="002A62E7"/>
    <w:rsid w:val="00372D70"/>
    <w:rsid w:val="0038542A"/>
    <w:rsid w:val="00415082"/>
    <w:rsid w:val="00425FB7"/>
    <w:rsid w:val="00435586"/>
    <w:rsid w:val="004464FB"/>
    <w:rsid w:val="004A2D53"/>
    <w:rsid w:val="004F1994"/>
    <w:rsid w:val="0050142A"/>
    <w:rsid w:val="0051484F"/>
    <w:rsid w:val="00525A59"/>
    <w:rsid w:val="00591F9C"/>
    <w:rsid w:val="005A3A1F"/>
    <w:rsid w:val="005D5532"/>
    <w:rsid w:val="005F4F97"/>
    <w:rsid w:val="00637030"/>
    <w:rsid w:val="006962A6"/>
    <w:rsid w:val="00714B15"/>
    <w:rsid w:val="007701E6"/>
    <w:rsid w:val="007720A6"/>
    <w:rsid w:val="0078406E"/>
    <w:rsid w:val="007B338C"/>
    <w:rsid w:val="007C6962"/>
    <w:rsid w:val="00904075"/>
    <w:rsid w:val="0091585A"/>
    <w:rsid w:val="00925307"/>
    <w:rsid w:val="00931F2F"/>
    <w:rsid w:val="00936758"/>
    <w:rsid w:val="0098103A"/>
    <w:rsid w:val="00981799"/>
    <w:rsid w:val="00987F38"/>
    <w:rsid w:val="009A79A6"/>
    <w:rsid w:val="009B537F"/>
    <w:rsid w:val="009D1F80"/>
    <w:rsid w:val="009E14D5"/>
    <w:rsid w:val="009E4D1F"/>
    <w:rsid w:val="00A1245D"/>
    <w:rsid w:val="00A562A4"/>
    <w:rsid w:val="00A707E4"/>
    <w:rsid w:val="00AB0CB3"/>
    <w:rsid w:val="00AD168B"/>
    <w:rsid w:val="00B25A55"/>
    <w:rsid w:val="00B64BC5"/>
    <w:rsid w:val="00BF236F"/>
    <w:rsid w:val="00C410D4"/>
    <w:rsid w:val="00C50FE5"/>
    <w:rsid w:val="00C7434D"/>
    <w:rsid w:val="00D10305"/>
    <w:rsid w:val="00DE2B50"/>
    <w:rsid w:val="00E05AE7"/>
    <w:rsid w:val="00E12360"/>
    <w:rsid w:val="00E27DF5"/>
    <w:rsid w:val="00E43272"/>
    <w:rsid w:val="00E44D14"/>
    <w:rsid w:val="00E86B5D"/>
    <w:rsid w:val="00EA7B59"/>
    <w:rsid w:val="00F160C5"/>
    <w:rsid w:val="00F51518"/>
    <w:rsid w:val="00F928B2"/>
    <w:rsid w:val="00F9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363A62"/>
  <w15:docId w15:val="{3FA5B1BC-6533-4C35-9BAD-659BE874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637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637030"/>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637030"/>
    <w:rPr>
      <w:rFonts w:cs="Times New Roman"/>
      <w:color w:val="0000FF"/>
      <w:u w:val="single"/>
    </w:rPr>
  </w:style>
  <w:style w:type="paragraph" w:styleId="FootnoteText">
    <w:name w:val="footnote text"/>
    <w:basedOn w:val="Normal"/>
    <w:link w:val="FootnoteTextChar"/>
    <w:uiPriority w:val="99"/>
    <w:semiHidden/>
    <w:unhideWhenUsed/>
    <w:rsid w:val="00637030"/>
    <w:pPr>
      <w:spacing w:after="0" w:line="240" w:lineRule="auto"/>
    </w:pPr>
    <w:rPr>
      <w:rFonts w:ascii="Arial" w:eastAsia="Times New Roman" w:hAnsi="Arial" w:cs="Arial"/>
      <w:color w:val="000000"/>
      <w:sz w:val="20"/>
      <w:szCs w:val="20"/>
    </w:rPr>
  </w:style>
  <w:style w:type="character" w:customStyle="1" w:styleId="FootnoteTextChar">
    <w:name w:val="Footnote Text Char"/>
    <w:basedOn w:val="DefaultParagraphFont"/>
    <w:link w:val="FootnoteText"/>
    <w:uiPriority w:val="99"/>
    <w:semiHidden/>
    <w:rsid w:val="00637030"/>
    <w:rPr>
      <w:rFonts w:ascii="Arial" w:eastAsia="Times New Roman" w:hAnsi="Arial" w:cs="Arial"/>
      <w:color w:val="000000"/>
      <w:sz w:val="20"/>
      <w:szCs w:val="20"/>
    </w:rPr>
  </w:style>
  <w:style w:type="character" w:styleId="FootnoteReference">
    <w:name w:val="footnote reference"/>
    <w:basedOn w:val="DefaultParagraphFont"/>
    <w:uiPriority w:val="99"/>
    <w:semiHidden/>
    <w:unhideWhenUsed/>
    <w:rsid w:val="00637030"/>
    <w:rPr>
      <w:rFonts w:cs="Times New Roman"/>
      <w:vertAlign w:val="superscript"/>
    </w:rPr>
  </w:style>
  <w:style w:type="character" w:customStyle="1" w:styleId="apple-converted-space">
    <w:name w:val="apple-converted-space"/>
    <w:basedOn w:val="DefaultParagraphFont"/>
    <w:rsid w:val="00637030"/>
    <w:rPr>
      <w:rFonts w:cs="Times New Roman"/>
    </w:rPr>
  </w:style>
  <w:style w:type="paragraph" w:styleId="NoSpacing">
    <w:name w:val="No Spacing"/>
    <w:uiPriority w:val="1"/>
    <w:qFormat/>
    <w:rsid w:val="00637030"/>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E44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D14"/>
  </w:style>
  <w:style w:type="paragraph" w:styleId="Footer">
    <w:name w:val="footer"/>
    <w:basedOn w:val="Normal"/>
    <w:link w:val="FooterChar"/>
    <w:uiPriority w:val="99"/>
    <w:unhideWhenUsed/>
    <w:rsid w:val="00E44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D14"/>
  </w:style>
  <w:style w:type="paragraph" w:styleId="BalloonText">
    <w:name w:val="Balloon Text"/>
    <w:basedOn w:val="Normal"/>
    <w:link w:val="BalloonTextChar"/>
    <w:uiPriority w:val="99"/>
    <w:semiHidden/>
    <w:unhideWhenUsed/>
    <w:rsid w:val="00E0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E7"/>
    <w:rPr>
      <w:rFonts w:ascii="Tahoma" w:hAnsi="Tahoma" w:cs="Tahoma"/>
      <w:sz w:val="16"/>
      <w:szCs w:val="16"/>
    </w:rPr>
  </w:style>
  <w:style w:type="character" w:styleId="CommentReference">
    <w:name w:val="annotation reference"/>
    <w:basedOn w:val="DefaultParagraphFont"/>
    <w:uiPriority w:val="99"/>
    <w:semiHidden/>
    <w:unhideWhenUsed/>
    <w:rsid w:val="00BF236F"/>
    <w:rPr>
      <w:sz w:val="16"/>
      <w:szCs w:val="16"/>
    </w:rPr>
  </w:style>
  <w:style w:type="paragraph" w:styleId="CommentText">
    <w:name w:val="annotation text"/>
    <w:basedOn w:val="Normal"/>
    <w:link w:val="CommentTextChar"/>
    <w:uiPriority w:val="99"/>
    <w:semiHidden/>
    <w:unhideWhenUsed/>
    <w:rsid w:val="00BF236F"/>
    <w:pPr>
      <w:spacing w:line="240" w:lineRule="auto"/>
    </w:pPr>
    <w:rPr>
      <w:sz w:val="20"/>
      <w:szCs w:val="20"/>
    </w:rPr>
  </w:style>
  <w:style w:type="character" w:customStyle="1" w:styleId="CommentTextChar">
    <w:name w:val="Comment Text Char"/>
    <w:basedOn w:val="DefaultParagraphFont"/>
    <w:link w:val="CommentText"/>
    <w:uiPriority w:val="99"/>
    <w:semiHidden/>
    <w:rsid w:val="00BF236F"/>
    <w:rPr>
      <w:sz w:val="20"/>
      <w:szCs w:val="20"/>
    </w:rPr>
  </w:style>
  <w:style w:type="paragraph" w:styleId="CommentSubject">
    <w:name w:val="annotation subject"/>
    <w:basedOn w:val="CommentText"/>
    <w:next w:val="CommentText"/>
    <w:link w:val="CommentSubjectChar"/>
    <w:uiPriority w:val="99"/>
    <w:semiHidden/>
    <w:unhideWhenUsed/>
    <w:rsid w:val="00BF236F"/>
    <w:rPr>
      <w:b/>
      <w:bCs/>
    </w:rPr>
  </w:style>
  <w:style w:type="character" w:customStyle="1" w:styleId="CommentSubjectChar">
    <w:name w:val="Comment Subject Char"/>
    <w:basedOn w:val="CommentTextChar"/>
    <w:link w:val="CommentSubject"/>
    <w:uiPriority w:val="99"/>
    <w:semiHidden/>
    <w:rsid w:val="00BF236F"/>
    <w:rPr>
      <w:b/>
      <w:bCs/>
      <w:sz w:val="20"/>
      <w:szCs w:val="20"/>
    </w:rPr>
  </w:style>
  <w:style w:type="paragraph" w:styleId="NormalWeb">
    <w:name w:val="Normal (Web)"/>
    <w:basedOn w:val="Normal"/>
    <w:uiPriority w:val="99"/>
    <w:unhideWhenUsed/>
    <w:rsid w:val="005148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88453">
      <w:bodyDiv w:val="1"/>
      <w:marLeft w:val="0"/>
      <w:marRight w:val="0"/>
      <w:marTop w:val="0"/>
      <w:marBottom w:val="0"/>
      <w:divBdr>
        <w:top w:val="none" w:sz="0" w:space="0" w:color="auto"/>
        <w:left w:val="none" w:sz="0" w:space="0" w:color="auto"/>
        <w:bottom w:val="none" w:sz="0" w:space="0" w:color="auto"/>
        <w:right w:val="none" w:sz="0" w:space="0" w:color="auto"/>
      </w:divBdr>
      <w:divsChild>
        <w:div w:id="260996141">
          <w:marLeft w:val="0"/>
          <w:marRight w:val="0"/>
          <w:marTop w:val="0"/>
          <w:marBottom w:val="0"/>
          <w:divBdr>
            <w:top w:val="none" w:sz="0" w:space="0" w:color="auto"/>
            <w:left w:val="none" w:sz="0" w:space="0" w:color="auto"/>
            <w:bottom w:val="none" w:sz="0" w:space="0" w:color="auto"/>
            <w:right w:val="none" w:sz="0" w:space="0" w:color="auto"/>
          </w:divBdr>
          <w:divsChild>
            <w:div w:id="466552292">
              <w:marLeft w:val="0"/>
              <w:marRight w:val="0"/>
              <w:marTop w:val="0"/>
              <w:marBottom w:val="0"/>
              <w:divBdr>
                <w:top w:val="none" w:sz="0" w:space="0" w:color="auto"/>
                <w:left w:val="none" w:sz="0" w:space="0" w:color="auto"/>
                <w:bottom w:val="none" w:sz="0" w:space="0" w:color="auto"/>
                <w:right w:val="none" w:sz="0" w:space="0" w:color="auto"/>
              </w:divBdr>
              <w:divsChild>
                <w:div w:id="520093787">
                  <w:marLeft w:val="0"/>
                  <w:marRight w:val="0"/>
                  <w:marTop w:val="0"/>
                  <w:marBottom w:val="0"/>
                  <w:divBdr>
                    <w:top w:val="none" w:sz="0" w:space="0" w:color="auto"/>
                    <w:left w:val="none" w:sz="0" w:space="0" w:color="auto"/>
                    <w:bottom w:val="none" w:sz="0" w:space="0" w:color="auto"/>
                    <w:right w:val="none" w:sz="0" w:space="0" w:color="auto"/>
                  </w:divBdr>
                  <w:divsChild>
                    <w:div w:id="12199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ultvaccinesnow.org/abou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a10f9ac0-5937-4b4f-b459-96aedd9ed2c5">
  <element uid="id_classification_eusecret" value=""/>
  <element uid="cefbaa69-3bfa-4b56-8d22-6839cb7b06d0"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E991882C19D64796137286E6CA896A" ma:contentTypeVersion="11" ma:contentTypeDescription="Create a new document." ma:contentTypeScope="" ma:versionID="45e3fa7ac35f5ed368a62b733569e793">
  <xsd:schema xmlns:xsd="http://www.w3.org/2001/XMLSchema" xmlns:xs="http://www.w3.org/2001/XMLSchema" xmlns:p="http://schemas.microsoft.com/office/2006/metadata/properties" xmlns:ns2="f12219e5-4edf-4590-bf77-d01abc93b2ef" xmlns:ns3="164ce9ca-66df-432b-bd38-c552723f2473" targetNamespace="http://schemas.microsoft.com/office/2006/metadata/properties" ma:root="true" ma:fieldsID="9f108cc1f5af4ab6508f7e2219704dad" ns2:_="" ns3:_="">
    <xsd:import namespace="f12219e5-4edf-4590-bf77-d01abc93b2ef"/>
    <xsd:import namespace="164ce9ca-66df-432b-bd38-c552723f24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219e5-4edf-4590-bf77-d01abc93b2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ce9ca-66df-432b-bd38-c552723f247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8F002-D04F-4835-AD5C-1914C91DBE81}">
  <ds:schemaRefs>
    <ds:schemaRef ds:uri="http://www.w3.org/XML/1998/namespace"/>
    <ds:schemaRef ds:uri="http://schemas.microsoft.com/office/2006/metadata/properties"/>
    <ds:schemaRef ds:uri="164ce9ca-66df-432b-bd38-c552723f2473"/>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f12219e5-4edf-4590-bf77-d01abc93b2ef"/>
    <ds:schemaRef ds:uri="http://purl.org/dc/dcmitype/"/>
  </ds:schemaRefs>
</ds:datastoreItem>
</file>

<file path=customXml/itemProps2.xml><?xml version="1.0" encoding="utf-8"?>
<ds:datastoreItem xmlns:ds="http://schemas.openxmlformats.org/officeDocument/2006/customXml" ds:itemID="{6440FEF2-D5DE-49C4-BDE4-7F250B7B268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D35952F-B8AA-4121-A870-2410B165C998}">
  <ds:schemaRefs>
    <ds:schemaRef ds:uri="http://schemas.microsoft.com/sharepoint/v3/contenttype/forms"/>
  </ds:schemaRefs>
</ds:datastoreItem>
</file>

<file path=customXml/itemProps4.xml><?xml version="1.0" encoding="utf-8"?>
<ds:datastoreItem xmlns:ds="http://schemas.openxmlformats.org/officeDocument/2006/customXml" ds:itemID="{DE30AC49-CE8D-4427-9267-133EC289B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219e5-4edf-4590-bf77-d01abc93b2ef"/>
    <ds:schemaRef ds:uri="164ce9ca-66df-432b-bd38-c552723f2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Foster</dc:creator>
  <cp:lastModifiedBy>Abby Bownas</cp:lastModifiedBy>
  <cp:revision>3</cp:revision>
  <cp:lastPrinted>2016-11-16T20:47:00Z</cp:lastPrinted>
  <dcterms:created xsi:type="dcterms:W3CDTF">2019-11-13T02:01:00Z</dcterms:created>
  <dcterms:modified xsi:type="dcterms:W3CDTF">2019-11-13T02:05:00Z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0277ae10-0077-4021-8f9e-16eee2c90433</vt:lpwstr>
  </property>
  <property fmtid="{D5CDD505-2E9C-101B-9397-08002B2CF9AE}" pid="4" name="bjSaver">
    <vt:lpwstr>sjJanUjRpGWHqQYmihnMsoeOZVJMBagh</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uid="id_classification_eusecret" value="" /&gt;&lt;element uid="cefbaa69-3bfa-4b56-8d22-6839cb7b06d0" value="" /&gt;&lt;/sisl&gt;</vt:lpwstr>
  </property>
  <property fmtid="{D5CDD505-2E9C-101B-9397-08002B2CF9AE}" pid="7" name="bjDocumentSecurityLabel">
    <vt:lpwstr>Confidential</vt:lpwstr>
  </property>
  <property fmtid="{D5CDD505-2E9C-101B-9397-08002B2CF9AE}" pid="8" name="MerckMetadataExchange">
    <vt:lpwstr>!$MRK@Confidential-Footer-Left</vt:lpwstr>
  </property>
  <property fmtid="{D5CDD505-2E9C-101B-9397-08002B2CF9AE}" pid="9" name="ContentTypeId">
    <vt:lpwstr>0x010100A2E991882C19D64796137286E6CA896A</vt:lpwstr>
  </property>
</Properties>
</file>